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ascii="Helvetica" w:hAnsi="Helvetica" w:eastAsia="Helvetica" w:cs="Helvetica"/>
          <w:i w:val="0"/>
          <w:iCs w:val="0"/>
          <w:caps w:val="0"/>
          <w:color w:val="5F5F5F"/>
          <w:spacing w:val="0"/>
          <w:sz w:val="21"/>
          <w:szCs w:val="21"/>
          <w:shd w:val="clear" w:fill="FFFFFF"/>
        </w:rPr>
        <w:t>枣庄市特种设备检验研究院</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枣庄市特种设备检验研究院所属资产处置-B车辆处置资产处置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19543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0.6万元。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（项目编号LNGZ2026-011-2</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该资产分开处置，独立受让，序号1为资产A包，序号2-3为资产B包。本次转让标的A包1-2为枣庄市特种设备检验研究院所属约克中央空调资产1项，标的2-3为枣庄市特种设备检验研究院公务车2辆，评估价值合计为75070元。</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2、意向受让方需明确废旧物资真实现状；转让方强调，意向受让方请亲自实地看样，未查看标的竞买人，一经报名即视为对本标的实物现状的确认，责任自负。</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3、意向受让方须承诺，自行承担标的资产牵涉的拆除、搬运、清理、吊装等全部费用。并承担清运过程中如发生安全、环保问题的全部责任。</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4、本次处置B资产包标的车辆为公务用车2辆。车辆交易均不包含车牌，标的物以实物现状为准，一经报名即视为同意按实物现状竞买，受让方不得以上述理由退车或要求赔偿。</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6、标的查看联系人：高女士，联系电话：0632-8836876。本次处置标的不提供增值税发票，由财政部门开具非税票据。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7、资产清单详见山东旭正土地房地产资产评估有限公司鲁旭资评报字[2025]第1028号、1023号评估报告。</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1、本次转让，意向受让方须承诺自成交之日起3个工作日内一次性缴纳剩余尾款及佣金并签订《资产交易合同》，在合同履行过程中应按照相关要求进行。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2、意向受让方须承诺，车辆办理登记变更过户时间为成交后十个工作日内，自行办理车辆过户过程中涉及的保险及年审等手续，并承担由此产生的所有费用（含补交的费用）。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3、意向受让方须承诺，已充分了解标的资产的情况，同意交易完成后在办理标的资产的登记变更过程中，转让方仅以提供现有资料为其应尽的协助配合义务，其他事宜均应由受让方办理。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r>
        <w:rPr>
          <w:rFonts w:hint="eastAsia" w:ascii="宋体" w:hAnsi="宋体"/>
          <w:bCs/>
          <w:sz w:val="22"/>
          <w:szCs w:val="20"/>
          <w:lang w:val="en-US" w:eastAsia="zh-CN"/>
        </w:rPr>
        <w:t>一事，</w:t>
      </w:r>
      <w:r>
        <w:rPr>
          <w:rFonts w:hint="eastAsia" w:ascii="宋体" w:hAnsi="宋体" w:eastAsia="宋体" w:cs="Times New Roman"/>
          <w:bCs/>
          <w:sz w:val="22"/>
          <w:szCs w:val="20"/>
          <w:lang w:val="en-US" w:eastAsia="zh-CN"/>
        </w:rPr>
        <w:t>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2026年1月26日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5872A6FF">
      <w:pPr>
        <w:pStyle w:val="2"/>
        <w:rPr>
          <w:rStyle w:val="13"/>
          <w:rFonts w:ascii="仿宋_GB2312" w:hAnsi="宋体" w:eastAsia="仿宋_GB2312"/>
          <w:sz w:val="24"/>
          <w:szCs w:val="24"/>
        </w:rPr>
      </w:pPr>
    </w:p>
    <w:p w14:paraId="547B5734">
      <w:pPr>
        <w:pStyle w:val="2"/>
        <w:rPr>
          <w:rStyle w:val="13"/>
          <w:rFonts w:ascii="仿宋_GB2312" w:hAnsi="宋体" w:eastAsia="仿宋_GB2312"/>
          <w:sz w:val="24"/>
          <w:szCs w:val="24"/>
        </w:rPr>
      </w:pPr>
    </w:p>
    <w:p w14:paraId="1144032C">
      <w:pPr>
        <w:pStyle w:val="2"/>
        <w:spacing w:line="240" w:lineRule="auto"/>
        <w:rPr>
          <w:rFonts w:hint="eastAsia"/>
          <w:sz w:val="15"/>
          <w:szCs w:val="15"/>
          <w:lang w:val="en-US" w:eastAsia="zh-CN"/>
        </w:rPr>
      </w:pPr>
    </w:p>
    <w:p w14:paraId="6F2BFCBA">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枣庄市特种设备检验研究院所属资产处置-B车辆处置</w:t>
      </w:r>
      <w:bookmarkStart w:id="0" w:name="_GoBack"/>
      <w:bookmarkEnd w:id="0"/>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6AD44C1"/>
    <w:rsid w:val="57F10A2D"/>
    <w:rsid w:val="585F22BD"/>
    <w:rsid w:val="58D647F4"/>
    <w:rsid w:val="598D401B"/>
    <w:rsid w:val="5C9242E7"/>
    <w:rsid w:val="5CB77DDB"/>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2016</Words>
  <Characters>2076</Characters>
  <Lines>29</Lines>
  <Paragraphs>8</Paragraphs>
  <TotalTime>1045</TotalTime>
  <ScaleCrop>false</ScaleCrop>
  <LinksUpToDate>false</LinksUpToDate>
  <CharactersWithSpaces>2118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2026-01-06T03:05:00Z</cp:lastPrinted>
  <dcterms:modified xsi:type="dcterms:W3CDTF">2026-01-27T01:40:13Z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BD69B9660DC54C9B84C1ED790FB2895D_13</vt:lpwstr>
  </property>
  <property fmtid="{D5CDD505-2E9C-101B-9397-08002B2CF9AE}" pid="4" name="KSOTemplateDocerSaveRecord">
    <vt:lpwstr>eyJoZGlkIjoiYjY4MWQxYzQ0YTA4YWM1ZmYzZjM5ZmQwMDI1MTRhYzciLCJ1c2VySWQiOiIyNDA5NjcyNjkifQ==</vt:lpwstr>
  </property>
</Properties>
</file>