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FBB35">
      <w:pPr>
        <w:keepNext w:val="0"/>
        <w:keepLines w:val="0"/>
        <w:pageBreakBefore w:val="0"/>
        <w:widowControl/>
        <w:kinsoku/>
        <w:wordWrap/>
        <w:overflowPunct/>
        <w:topLinePunct w:val="0"/>
        <w:autoSpaceDE/>
        <w:autoSpaceDN/>
        <w:bidi w:val="0"/>
        <w:snapToGrid w:val="0"/>
        <w:spacing w:line="240" w:lineRule="auto"/>
        <w:jc w:val="center"/>
        <w:textAlignment w:val="auto"/>
        <w:rPr>
          <w:rFonts w:hint="eastAsia" w:ascii="仿宋" w:hAnsi="仿宋" w:eastAsia="仿宋" w:cs="仿宋"/>
          <w:b/>
          <w:bCs w:val="0"/>
          <w:color w:val="0D0D0D" w:themeColor="text1" w:themeTint="F2"/>
          <w:sz w:val="36"/>
          <w:szCs w:val="36"/>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6"/>
          <w:szCs w:val="36"/>
          <w14:textFill>
            <w14:solidFill>
              <w14:schemeClr w14:val="tx1">
                <w14:lumMod w14:val="95000"/>
                <w14:lumOff w14:val="5000"/>
              </w14:schemeClr>
            </w14:solidFill>
          </w14:textFill>
        </w:rPr>
        <w:t>网络竞价承诺函</w:t>
      </w:r>
    </w:p>
    <w:p w14:paraId="33BEAFC9">
      <w:pPr>
        <w:keepNext w:val="0"/>
        <w:keepLines w:val="0"/>
        <w:pageBreakBefore w:val="0"/>
        <w:widowControl/>
        <w:kinsoku/>
        <w:wordWrap/>
        <w:overflowPunct/>
        <w:topLinePunct w:val="0"/>
        <w:autoSpaceDE/>
        <w:autoSpaceDN/>
        <w:bidi w:val="0"/>
        <w:spacing w:line="240" w:lineRule="auto"/>
        <w:ind w:firstLine="420" w:firstLineChars="200"/>
        <w:jc w:val="left"/>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ascii="宋体" w:hAnsi="宋体" w:eastAsia="宋体" w:cs="宋体"/>
          <w:sz w:val="21"/>
          <w:szCs w:val="21"/>
        </w:rPr>
        <w:br w:type="textWrapping"/>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徐庄镇人民政府</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w:t>
      </w:r>
    </w:p>
    <w:p w14:paraId="54E8D7BD">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p>
    <w:p w14:paraId="239A8887">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我方就参与</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徐庄镇人民政府所属环卫设备资产报废处置</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活动作出如下承诺：</w:t>
      </w:r>
    </w:p>
    <w:p w14:paraId="22569B3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一、我方接受枣庄市公共资源国有产权交易有限公司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采取网络竞价方式组织本次交易，对</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网络</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竞价的交易方式和规则已全面了解，自愿遵守本项目《资产转让网络竞价须知》等文件的相关约定。其中，网络竞价包含动态报价方式。</w:t>
      </w:r>
    </w:p>
    <w:p w14:paraId="40A55F29">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二、我方已仔细阅读并自愿遵守《山东产权交易中心资产交易规则》和《山东产权交易中心网络竞价实施办法》、《山东产权交易中心动态报价实施办法》。</w:t>
      </w:r>
    </w:p>
    <w:p w14:paraId="384F35A5">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630" w:leftChars="0"/>
        <w:jc w:val="both"/>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三、我方愿意以不低于</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挂牌底价60700</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元</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，购买在中心公开挂牌转让的该项目。</w:t>
      </w:r>
    </w:p>
    <w:p w14:paraId="26F09CE6">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577B1928">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6A1015C3">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六、我方于本承诺函签署之前，向</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交纳购买该资产的交易保证金</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18000元。</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未经</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同意，不得在确定受让方前退出报价活动或要求退回保证金。确定受让方后，我方未购买成功且无违约责任的，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于</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个工作日内将保证金无息退还。</w:t>
      </w:r>
    </w:p>
    <w:p w14:paraId="645D3A3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七、我方承诺在网络竞价结束后，按</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挂牌公告</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的要求在3个工作日内与转让方签署《资产交易合同》，并支付成交价款及交易费用至中心指定账户（成交价款无息结算），其中</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按成</w:t>
      </w:r>
      <w:r>
        <w:rPr>
          <w:rFonts w:hint="eastAsia" w:ascii="仿宋" w:hAnsi="仿宋" w:eastAsia="仿宋" w:cs="仿宋"/>
          <w:color w:val="0000FF"/>
          <w:kern w:val="0"/>
          <w:sz w:val="24"/>
          <w:szCs w:val="24"/>
        </w:rPr>
        <w:t>交</w:t>
      </w:r>
      <w:r>
        <w:rPr>
          <w:rFonts w:hint="eastAsia" w:ascii="仿宋" w:hAnsi="仿宋" w:eastAsia="仿宋" w:cs="仿宋"/>
          <w:color w:val="0000FF"/>
          <w:kern w:val="0"/>
          <w:sz w:val="24"/>
          <w:szCs w:val="24"/>
          <w:lang w:eastAsia="zh-CN"/>
        </w:rPr>
        <w:t>额</w:t>
      </w:r>
      <w:r>
        <w:rPr>
          <w:rFonts w:hint="eastAsia" w:ascii="仿宋" w:hAnsi="仿宋" w:eastAsia="仿宋" w:cs="仿宋"/>
          <w:color w:val="0000FF"/>
          <w:kern w:val="0"/>
          <w:sz w:val="24"/>
          <w:szCs w:val="24"/>
        </w:rPr>
        <w:t>的</w:t>
      </w:r>
      <w:r>
        <w:rPr>
          <w:rFonts w:hint="eastAsia" w:ascii="仿宋" w:hAnsi="仿宋" w:eastAsia="仿宋" w:cs="仿宋"/>
          <w:color w:val="0000FF"/>
          <w:kern w:val="0"/>
          <w:sz w:val="24"/>
          <w:szCs w:val="24"/>
          <w:lang w:val="en-US" w:eastAsia="zh-CN"/>
        </w:rPr>
        <w:t>1</w:t>
      </w:r>
      <w:r>
        <w:rPr>
          <w:rFonts w:hint="eastAsia" w:ascii="仿宋" w:hAnsi="仿宋" w:eastAsia="仿宋" w:cs="仿宋"/>
          <w:color w:val="0000FF"/>
          <w:kern w:val="0"/>
          <w:sz w:val="24"/>
          <w:szCs w:val="24"/>
        </w:rPr>
        <w:t>‰收取，竞价佣金按</w:t>
      </w:r>
      <w:r>
        <w:rPr>
          <w:rFonts w:hint="eastAsia" w:ascii="仿宋" w:hAnsi="仿宋" w:eastAsia="仿宋" w:cs="仿宋"/>
          <w:color w:val="0000FF"/>
          <w:kern w:val="0"/>
          <w:sz w:val="24"/>
          <w:szCs w:val="24"/>
          <w:lang w:val="en-US" w:eastAsia="zh-CN"/>
        </w:rPr>
        <w:t>转让底价</w:t>
      </w:r>
      <w:r>
        <w:rPr>
          <w:rFonts w:hint="eastAsia" w:ascii="仿宋" w:hAnsi="仿宋" w:eastAsia="仿宋" w:cs="仿宋"/>
          <w:color w:val="0000FF"/>
          <w:kern w:val="0"/>
          <w:sz w:val="24"/>
          <w:szCs w:val="24"/>
        </w:rPr>
        <w:t>的</w:t>
      </w:r>
      <w:r>
        <w:rPr>
          <w:rFonts w:hint="eastAsia" w:ascii="仿宋" w:hAnsi="仿宋" w:eastAsia="仿宋" w:cs="仿宋"/>
          <w:color w:val="0000FF"/>
          <w:kern w:val="0"/>
          <w:sz w:val="24"/>
          <w:szCs w:val="24"/>
          <w:lang w:val="en-US" w:eastAsia="zh-CN"/>
        </w:rPr>
        <w:t>3</w:t>
      </w:r>
      <w:r>
        <w:rPr>
          <w:rFonts w:hint="eastAsia" w:ascii="仿宋" w:hAnsi="仿宋" w:eastAsia="仿宋" w:cs="仿宋"/>
          <w:color w:val="0000FF"/>
          <w:kern w:val="0"/>
          <w:sz w:val="24"/>
          <w:szCs w:val="24"/>
        </w:rPr>
        <w:t>%收取</w:t>
      </w:r>
      <w:r>
        <w:rPr>
          <w:rFonts w:hint="eastAsia" w:ascii="仿宋" w:hAnsi="仿宋" w:eastAsia="仿宋" w:cs="仿宋"/>
          <w:color w:val="0000FF"/>
          <w:kern w:val="0"/>
          <w:sz w:val="24"/>
          <w:szCs w:val="24"/>
          <w:lang w:eastAsia="zh-CN"/>
        </w:rPr>
        <w:t>。</w:t>
      </w:r>
    </w:p>
    <w:p w14:paraId="5075C391">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八、我方承诺：</w:t>
      </w:r>
    </w:p>
    <w:p w14:paraId="14570A70">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ED82BF">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有权取消我方的竞买资格，扣收我方交纳的交易保证金。</w:t>
      </w:r>
    </w:p>
    <w:p w14:paraId="177C64B5">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十、我方同意，被确定为受让方后我方</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未能付清全部交易价款及交易费用的</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，按照挂牌价格的10%向</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支付违约金；因我方违约致使本次交易活动停滞的，转让方和</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7CFEABA">
      <w:pPr>
        <w:keepNext w:val="0"/>
        <w:keepLines w:val="0"/>
        <w:pageBreakBefore w:val="0"/>
        <w:widowControl/>
        <w:kinsoku/>
        <w:wordWrap/>
        <w:overflowPunct/>
        <w:topLinePunct w:val="0"/>
        <w:autoSpaceDE/>
        <w:autoSpaceDN/>
        <w:bidi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十一、本《网络竞价承诺函》传真件、扫描件与原件具有同等法律效力。</w:t>
      </w:r>
    </w:p>
    <w:p w14:paraId="36A7B0A0">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4"/>
          <w:szCs w:val="24"/>
          <w14:textFill>
            <w14:solidFill>
              <w14:schemeClr w14:val="tx1">
                <w14:lumMod w14:val="95000"/>
                <w14:lumOff w14:val="5000"/>
              </w14:schemeClr>
            </w14:solidFill>
          </w14:textFill>
        </w:rPr>
        <w:t>《资产受让网络竞价须知》</w:t>
      </w:r>
    </w:p>
    <w:p w14:paraId="74684CA9">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4F23F322">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 xml:space="preserve">承诺方：            </w:t>
      </w:r>
    </w:p>
    <w:p w14:paraId="2AC005BC">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549BFE73">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6EF612C7">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 xml:space="preserve">联系人：    </w:t>
      </w:r>
    </w:p>
    <w:p w14:paraId="45306A30">
      <w:pPr>
        <w:keepNext w:val="0"/>
        <w:keepLines w:val="0"/>
        <w:pageBreakBefore w:val="0"/>
        <w:widowControl/>
        <w:kinsoku/>
        <w:wordWrap/>
        <w:overflowPunct/>
        <w:topLinePunct w:val="0"/>
        <w:autoSpaceDE/>
        <w:autoSpaceDN/>
        <w:bidi w:val="0"/>
        <w:spacing w:line="240" w:lineRule="auto"/>
        <w:ind w:firstLine="240" w:firstLineChars="1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11B0F005">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113B2CB1">
      <w:pPr>
        <w:keepNext w:val="0"/>
        <w:keepLines w:val="0"/>
        <w:pageBreakBefore w:val="0"/>
        <w:widowControl/>
        <w:kinsoku/>
        <w:wordWrap/>
        <w:overflowPunct/>
        <w:topLinePunct w:val="0"/>
        <w:autoSpaceDE/>
        <w:autoSpaceDN/>
        <w:bidi w:val="0"/>
        <w:spacing w:line="240" w:lineRule="auto"/>
        <w:jc w:val="left"/>
        <w:textAlignment w:val="auto"/>
        <w:rPr>
          <w:rFonts w:hint="eastAsia" w:ascii="仿宋" w:hAnsi="仿宋" w:eastAsia="仿宋" w:cs="仿宋"/>
          <w:color w:val="0D0D0D" w:themeColor="text1" w:themeTint="F2"/>
          <w:kern w:val="0"/>
          <w:sz w:val="24"/>
          <w:szCs w:val="24"/>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手 机：</w:t>
      </w:r>
    </w:p>
    <w:p w14:paraId="28658F81">
      <w:pPr>
        <w:keepNext w:val="0"/>
        <w:keepLines w:val="0"/>
        <w:pageBreakBefore w:val="0"/>
        <w:widowControl/>
        <w:kinsoku/>
        <w:wordWrap/>
        <w:overflowPunct/>
        <w:topLinePunct w:val="0"/>
        <w:autoSpaceDE/>
        <w:autoSpaceDN/>
        <w:bidi w:val="0"/>
        <w:spacing w:line="240" w:lineRule="auto"/>
        <w:ind w:right="1098" w:rightChars="523" w:firstLine="960" w:firstLineChars="400"/>
        <w:jc w:val="righ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3F6F06EE">
      <w:pPr>
        <w:keepNext w:val="0"/>
        <w:keepLines w:val="0"/>
        <w:pageBreakBefore w:val="0"/>
        <w:widowControl/>
        <w:kinsoku/>
        <w:wordWrap/>
        <w:overflowPunct/>
        <w:topLinePunct w:val="0"/>
        <w:autoSpaceDE/>
        <w:autoSpaceDN/>
        <w:bidi w:val="0"/>
        <w:spacing w:line="240" w:lineRule="auto"/>
        <w:ind w:right="1098" w:rightChars="523" w:firstLine="960" w:firstLineChars="400"/>
        <w:jc w:val="right"/>
        <w:textAlignment w:val="auto"/>
        <w:rPr>
          <w:rFonts w:hint="eastAsia" w:ascii="仿宋" w:hAnsi="仿宋" w:eastAsia="仿宋" w:cs="仿宋"/>
          <w:color w:val="0D0D0D" w:themeColor="text1" w:themeTint="F2"/>
          <w:kern w:val="0"/>
          <w:sz w:val="24"/>
          <w:szCs w:val="24"/>
          <w:u w:val="single"/>
          <w14:textFill>
            <w14:solidFill>
              <w14:schemeClr w14:val="tx1">
                <w14:lumMod w14:val="95000"/>
                <w14:lumOff w14:val="5000"/>
              </w14:schemeClr>
            </w14:solidFill>
          </w14:textFill>
        </w:rPr>
      </w:pPr>
    </w:p>
    <w:p w14:paraId="6871C124">
      <w:pPr>
        <w:keepNext w:val="0"/>
        <w:keepLines w:val="0"/>
        <w:pageBreakBefore w:val="0"/>
        <w:widowControl/>
        <w:kinsoku/>
        <w:wordWrap/>
        <w:overflowPunct/>
        <w:topLinePunct w:val="0"/>
        <w:autoSpaceDE/>
        <w:autoSpaceDN/>
        <w:bidi w:val="0"/>
        <w:spacing w:line="240" w:lineRule="auto"/>
        <w:ind w:firstLine="562"/>
        <w:jc w:val="center"/>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日</w:t>
      </w:r>
    </w:p>
    <w:p w14:paraId="56233CFD">
      <w:pPr>
        <w:pStyle w:val="2"/>
        <w:spacing w:line="240" w:lineRule="auto"/>
        <w:rPr>
          <w:rFonts w:hint="eastAsia" w:ascii="仿宋" w:hAnsi="仿宋" w:eastAsia="仿宋" w:cs="仿宋"/>
          <w:b/>
          <w:bCs w:val="0"/>
          <w:color w:val="0D0D0D" w:themeColor="text1" w:themeTint="F2"/>
          <w:sz w:val="28"/>
          <w:szCs w:val="28"/>
          <w14:textFill>
            <w14:solidFill>
              <w14:schemeClr w14:val="tx1">
                <w14:lumMod w14:val="95000"/>
                <w14:lumOff w14:val="5000"/>
              </w14:schemeClr>
            </w14:solidFill>
          </w14:textFill>
        </w:rPr>
      </w:pPr>
    </w:p>
    <w:p w14:paraId="3C861066">
      <w:pPr>
        <w:keepNext w:val="0"/>
        <w:keepLines w:val="0"/>
        <w:pageBreakBefore w:val="0"/>
        <w:widowControl/>
        <w:kinsoku/>
        <w:wordWrap/>
        <w:overflowPunct/>
        <w:topLinePunct w:val="0"/>
        <w:autoSpaceDE/>
        <w:autoSpaceDN/>
        <w:bidi w:val="0"/>
        <w:spacing w:line="240" w:lineRule="auto"/>
        <w:jc w:val="center"/>
        <w:textAlignment w:val="auto"/>
        <w:rPr>
          <w:rFonts w:hint="eastAsia" w:ascii="仿宋" w:hAnsi="仿宋" w:eastAsia="仿宋" w:cs="仿宋"/>
          <w:b/>
          <w:bCs w:val="0"/>
          <w:color w:val="0D0D0D" w:themeColor="text1" w:themeTint="F2"/>
          <w:sz w:val="28"/>
          <w:szCs w:val="28"/>
          <w14:textFill>
            <w14:solidFill>
              <w14:schemeClr w14:val="tx1">
                <w14:lumMod w14:val="95000"/>
                <w14:lumOff w14:val="5000"/>
              </w14:schemeClr>
            </w14:solidFill>
          </w14:textFill>
        </w:rPr>
      </w:pPr>
    </w:p>
    <w:p w14:paraId="308742F0">
      <w:pPr>
        <w:keepNext w:val="0"/>
        <w:keepLines w:val="0"/>
        <w:pageBreakBefore w:val="0"/>
        <w:widowControl/>
        <w:kinsoku/>
        <w:wordWrap/>
        <w:overflowPunct/>
        <w:topLinePunct w:val="0"/>
        <w:autoSpaceDE/>
        <w:autoSpaceDN/>
        <w:bidi w:val="0"/>
        <w:spacing w:line="240" w:lineRule="auto"/>
        <w:jc w:val="center"/>
        <w:textAlignment w:val="auto"/>
        <w:rPr>
          <w:rFonts w:hint="eastAsia" w:ascii="仿宋" w:hAnsi="仿宋" w:eastAsia="仿宋" w:cs="仿宋"/>
          <w:b/>
          <w:bCs w:val="0"/>
          <w:color w:val="0D0D0D" w:themeColor="text1" w:themeTint="F2"/>
          <w:sz w:val="28"/>
          <w:szCs w:val="28"/>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8"/>
          <w:szCs w:val="28"/>
          <w14:textFill>
            <w14:solidFill>
              <w14:schemeClr w14:val="tx1">
                <w14:lumMod w14:val="95000"/>
                <w14:lumOff w14:val="5000"/>
              </w14:schemeClr>
            </w14:solidFill>
          </w14:textFill>
        </w:rPr>
        <w:t>资产受让网络竞价须知</w:t>
      </w:r>
    </w:p>
    <w:p w14:paraId="680B040F">
      <w:pPr>
        <w:keepNext w:val="0"/>
        <w:keepLines w:val="0"/>
        <w:pageBreakBefore w:val="0"/>
        <w:kinsoku/>
        <w:wordWrap/>
        <w:overflowPunct/>
        <w:topLinePunct w:val="0"/>
        <w:autoSpaceDE/>
        <w:autoSpaceDN/>
        <w:bidi w:val="0"/>
        <w:spacing w:line="240" w:lineRule="auto"/>
        <w:ind w:firstLine="480" w:firstLineChars="200"/>
        <w:textAlignment w:val="auto"/>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pPr>
    </w:p>
    <w:p w14:paraId="26475D90">
      <w:pPr>
        <w:keepNext w:val="0"/>
        <w:keepLines w:val="0"/>
        <w:pageBreakBefore w:val="0"/>
        <w:kinsoku/>
        <w:wordWrap/>
        <w:overflowPunct/>
        <w:topLinePunct w:val="0"/>
        <w:autoSpaceDE/>
        <w:autoSpaceDN/>
        <w:bidi w:val="0"/>
        <w:spacing w:line="240" w:lineRule="auto"/>
        <w:ind w:firstLine="480" w:firstLineChars="200"/>
        <w:textAlignment w:val="auto"/>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sz w:val="24"/>
          <w:szCs w:val="24"/>
          <w:lang w:val="en-US" w:eastAsia="zh-CN"/>
          <w14:textFill>
            <w14:solidFill>
              <w14:schemeClr w14:val="tx1">
                <w14:lumMod w14:val="95000"/>
                <w14:lumOff w14:val="5000"/>
              </w14:schemeClr>
            </w14:solidFill>
          </w14:textFill>
        </w:rPr>
        <w:t>、</w:t>
      </w:r>
      <w:r>
        <w:rPr>
          <w:rFonts w:ascii="Helvetica" w:hAnsi="Helvetica" w:eastAsia="Helvetica" w:cs="Helvetica"/>
          <w:i w:val="0"/>
          <w:iCs w:val="0"/>
          <w:caps w:val="0"/>
          <w:color w:val="5F5F5F"/>
          <w:spacing w:val="0"/>
          <w:sz w:val="21"/>
          <w:szCs w:val="21"/>
          <w:shd w:val="clear" w:fill="FFFFFF"/>
        </w:rPr>
        <w:t>徐庄镇人民政府所属环卫设备资产报废处置</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（项目编号LNGZ2025-102）《资产转让网络竞价须知》以下简称“《须知》”）依</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据《山东产权交易中心资产交</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易规则》和《山东产权交易中心网络竞价实施办法》、</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《山东产权交易中心动态报价实施办法》制定</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。其中，网络竞价包含动态报价方式。</w:t>
      </w:r>
    </w:p>
    <w:p w14:paraId="1FE5AA43">
      <w:pPr>
        <w:keepNext w:val="0"/>
        <w:keepLines w:val="0"/>
        <w:pageBreakBefore w:val="0"/>
        <w:kinsoku/>
        <w:wordWrap/>
        <w:overflowPunct/>
        <w:topLinePunct w:val="0"/>
        <w:autoSpaceDE/>
        <w:autoSpaceDN/>
        <w:bidi w:val="0"/>
        <w:spacing w:line="240" w:lineRule="auto"/>
        <w:ind w:firstLine="480" w:firstLineChars="200"/>
        <w:textAlignment w:val="auto"/>
        <w:rPr>
          <w:rFonts w:hint="eastAsia" w:ascii="仿宋" w:hAnsi="仿宋" w:eastAsia="仿宋" w:cs="仿宋"/>
          <w:color w:val="0D0D0D" w:themeColor="text1" w:themeTint="F2"/>
          <w:kern w:val="0"/>
          <w:sz w:val="24"/>
          <w:szCs w:val="24"/>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二、该项目在</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组织实施。</w:t>
      </w:r>
    </w:p>
    <w:p w14:paraId="1F4A11C3">
      <w:pPr>
        <w:keepNext w:val="0"/>
        <w:keepLines w:val="0"/>
        <w:pageBreakBefore w:val="0"/>
        <w:widowControl/>
        <w:kinsoku/>
        <w:wordWrap/>
        <w:overflowPunct/>
        <w:topLinePunct w:val="0"/>
        <w:autoSpaceDE/>
        <w:autoSpaceDN/>
        <w:bidi w:val="0"/>
        <w:spacing w:line="240" w:lineRule="auto"/>
        <w:ind w:right="-187" w:rightChars="-89" w:firstLine="470" w:firstLineChars="196"/>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26年9</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22</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5302512">
      <w:pPr>
        <w:keepNext w:val="0"/>
        <w:keepLines w:val="0"/>
        <w:pageBreakBefore w:val="0"/>
        <w:widowControl/>
        <w:kinsoku/>
        <w:wordWrap/>
        <w:overflowPunct/>
        <w:topLinePunct w:val="0"/>
        <w:autoSpaceDE/>
        <w:autoSpaceDN/>
        <w:bidi w:val="0"/>
        <w:spacing w:line="240" w:lineRule="auto"/>
        <w:ind w:right="-187" w:rightChars="-89" w:firstLine="470" w:firstLineChars="196"/>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《山东产权交易中心动态报价实施办法》的规定，认真阅读了本《须知》并接受其全部内容。</w:t>
      </w:r>
    </w:p>
    <w:p w14:paraId="59556A08">
      <w:pPr>
        <w:keepNext w:val="0"/>
        <w:keepLines w:val="0"/>
        <w:pageBreakBefore w:val="0"/>
        <w:kinsoku/>
        <w:wordWrap/>
        <w:overflowPunct/>
        <w:topLinePunct w:val="0"/>
        <w:autoSpaceDE/>
        <w:autoSpaceDN/>
        <w:bidi w:val="0"/>
        <w:adjustRightInd w:val="0"/>
        <w:snapToGrid w:val="0"/>
        <w:spacing w:line="240" w:lineRule="auto"/>
        <w:ind w:firstLine="480" w:firstLineChars="200"/>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4"/>
          <w:szCs w:val="24"/>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4"/>
          <w:szCs w:val="24"/>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4"/>
          <w:szCs w:val="24"/>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按照挂牌公告的竞价方式组织实施公开竞价。我方愿意以不低于转让底价</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（即挂牌价格）</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购买在中心公开挂牌转让的本项目，承诺提交报名即视为以挂牌价出价</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如所有竞买人均未报价</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保证金到账</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最早且</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通过资格审核的意向</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受让方</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确定为最终受让方，</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成交</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价</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格</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为</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挂牌价。</w:t>
      </w:r>
    </w:p>
    <w:p w14:paraId="357B52D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70" w:leftChars="0" w:firstLine="490" w:firstLineChars="0"/>
        <w:jc w:val="left"/>
        <w:textAlignment w:val="auto"/>
        <w:rPr>
          <w:rFonts w:ascii="微软雅黑" w:hAnsi="微软雅黑" w:eastAsia="微软雅黑" w:cs="微软雅黑"/>
          <w:color w:val="999999"/>
          <w:sz w:val="21"/>
          <w:szCs w:val="21"/>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按转让方要求进行标的图片、文字或实物展示。</w:t>
      </w:r>
    </w:p>
    <w:p w14:paraId="7C561D8D">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70" w:leftChars="0" w:firstLine="490" w:firstLineChars="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六、1、该标的一、车牌号为鲁DE0109；车辆识别代号为LFNAFUKH5K1E29561的中燕牌洒水车一辆。</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标的二、车牌号为鲁DD2215；车辆识别代号为LGHX1H4S0K5108066的程力威牌大钩臂车一辆。</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标的三、车牌号为鲁D052PU；车辆识别代号为LGDCH81C0KA142214的程力威牌小钩臂车一辆。</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标的四、车牌号为鲁DZ052R；车辆识别代号为LGDCH81C8KA142218的程力威牌小钩臂车一辆。</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标的五、车牌号为鲁DE8890；车辆识别代号为LVBV4JBB9LY074279的中燕牌扫路车一辆。</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标的购置时间为2020年，经现场勘察及企业有关人员介绍，上述委估资产购置时问比较集中，车辆长期闲置停放，搁置时间过久。发动机、环卫作业专用装置锈蚀损坏，整机无法启动、作业功能彻底失效，底盘及安全部件老化，维修性价比极低，已不具备继续使用条件，拟报废评估，所盘点设备分别存放和使用在枣庄市山亭区徐庄镇镇域，目前均处于长时间停放未使用。转让标的实际情况以移交现状为准，车辆交付以转移过户完成为标准，车辆实际过户条件需自行查询，因客观原因无法过户的需拆解报废，并将车辆拆解报废六联单报送至徐庄镇人民政府。本次转让标的明细详见以下附件资料。</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2、该标的为废旧资产，意向受让方需明确废旧物资真实现状；转让方强调，意向受让方请亲自实地看样，未查看标的竞买人，一经报名即视为对本标的实物现状的确认，责任自负。</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3、 意向受让方须承诺，自行承担标的资产牵涉的拆除、搬运、清理等全部费用。并承担清运过程中如发生安全、环保问题的全部责任。</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4、标的查看联系人：高女士，联系电话：0632-8836876。本次处置标的不提供增值税发票，由财政部门开具非税票据。</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5、资产清单详见山东大普土地房地产资产评估有限公司鲁大普评报字（2026）第ZZ00262号评估报告。</w:t>
      </w:r>
    </w:p>
    <w:p w14:paraId="2E5501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80" w:firstLineChars="200"/>
        <w:jc w:val="both"/>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七、1、本次转让，意向受让方须承诺自成交之日起3个工作日内一次性缴纳剩余尾款及佣金并签订《资产交易合同》，在合同履行过程中应按照相关要求进行。</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2、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3、成交后受让方如出现违约按交易保证金金额承担赔偿责任，保证金金额不足以弥补违约造成的损失的，转让方可以向受让方进行追偿。</w:t>
      </w:r>
    </w:p>
    <w:p w14:paraId="31F3B84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70" w:leftChars="0" w:firstLine="490" w:firstLineChars="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0960B3C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70" w:leftChars="0" w:firstLine="490" w:firstLineChars="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九、网络竞价加价规则：</w:t>
      </w:r>
    </w:p>
    <w:p w14:paraId="3E2D8071">
      <w:pPr>
        <w:keepNext w:val="0"/>
        <w:keepLines w:val="0"/>
        <w:pageBreakBefore w:val="0"/>
        <w:widowControl/>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元人民币。除对报价底价应价外，各意向受让方每次加价不得低于加价幅度。</w:t>
      </w:r>
    </w:p>
    <w:p w14:paraId="321C245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b w:val="0"/>
          <w:bCs w:val="0"/>
          <w:sz w:val="22"/>
          <w:szCs w:val="22"/>
          <w:lang w:val="en-US" w:eastAsia="zh-CN"/>
        </w:rPr>
      </w:pP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4"/>
          <w:szCs w:val="24"/>
          <w:lang w:eastAsia="zh-CN"/>
          <w14:textFill>
            <w14:solidFill>
              <w14:schemeClr w14:val="tx1">
                <w14:lumMod w14:val="95000"/>
                <w14:lumOff w14:val="5000"/>
              </w14:schemeClr>
            </w14:solidFill>
          </w14:textFill>
        </w:rPr>
        <w:t>。</w:t>
      </w:r>
    </w:p>
    <w:p w14:paraId="47706F35">
      <w:pPr>
        <w:keepNext w:val="0"/>
        <w:keepLines w:val="0"/>
        <w:pageBreakBefore w:val="0"/>
        <w:widowControl/>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十一、受让方的保证金转</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个工作日内将保证金无息退还。</w:t>
      </w:r>
    </w:p>
    <w:p w14:paraId="64D4ED5D">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十二、意向受让方提供虚假资料、扰乱报价、恶意串通或其他违反法律法规的，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有权取消其网络竞价参与资格、确认报价无效，并冻结其保证金，保留对其追究法律责任的权利。</w:t>
      </w:r>
    </w:p>
    <w:p w14:paraId="23D722E8">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十三、受让方未按时支付成交价款及交易费用的，构成违约。</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6B72122">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21EFD9BA">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十四、意向受让方承诺：</w:t>
      </w:r>
    </w:p>
    <w:p w14:paraId="021CE809">
      <w:pPr>
        <w:keepNext w:val="0"/>
        <w:keepLines w:val="0"/>
        <w:pageBreakBefore w:val="0"/>
        <w:widowControl/>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2AA5497B">
      <w:pPr>
        <w:keepNext w:val="0"/>
        <w:keepLines w:val="0"/>
        <w:pageBreakBefore w:val="0"/>
        <w:widowControl/>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十五、意向受让方应对其参与网络竞价的注册帐户的安全性负责，任何使用意向受让方用户名和密码登录进入网络竞价系统，在系统中的一切行为均视为意向受让方本人的行为，由意向受让方负责。</w:t>
      </w:r>
    </w:p>
    <w:p w14:paraId="341029F2">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十六、因意向受让方如下行为产生的一切后果，</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不承担任何责任：</w:t>
      </w:r>
    </w:p>
    <w:p w14:paraId="1B9AC834">
      <w:pPr>
        <w:keepNext w:val="0"/>
        <w:keepLines w:val="0"/>
        <w:pageBreakBefore w:val="0"/>
        <w:widowControl/>
        <w:kinsoku/>
        <w:wordWrap/>
        <w:overflowPunct/>
        <w:topLinePunct w:val="0"/>
        <w:autoSpaceDE/>
        <w:autoSpaceDN/>
        <w:bidi w:val="0"/>
        <w:adjustRightInd w:val="0"/>
        <w:snapToGrid w:val="0"/>
        <w:spacing w:line="240" w:lineRule="auto"/>
        <w:ind w:firstLine="488"/>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及网络竞价系统发布的动态报价活动相关信息的；</w:t>
      </w:r>
    </w:p>
    <w:p w14:paraId="1BE52DF1">
      <w:pPr>
        <w:keepNext w:val="0"/>
        <w:keepLines w:val="0"/>
        <w:pageBreakBefore w:val="0"/>
        <w:widowControl/>
        <w:kinsoku/>
        <w:wordWrap/>
        <w:overflowPunct/>
        <w:topLinePunct w:val="0"/>
        <w:autoSpaceDE/>
        <w:autoSpaceDN/>
        <w:bidi w:val="0"/>
        <w:adjustRightInd w:val="0"/>
        <w:snapToGrid w:val="0"/>
        <w:spacing w:line="240" w:lineRule="auto"/>
        <w:ind w:firstLine="488"/>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2、由于意向受让方使用的终端设备和网络异常等原因导致无法正常报价的；</w:t>
      </w:r>
    </w:p>
    <w:p w14:paraId="3E45F1D9">
      <w:pPr>
        <w:keepNext w:val="0"/>
        <w:keepLines w:val="0"/>
        <w:pageBreakBefore w:val="0"/>
        <w:widowControl/>
        <w:kinsoku/>
        <w:wordWrap/>
        <w:overflowPunct/>
        <w:topLinePunct w:val="0"/>
        <w:autoSpaceDE/>
        <w:autoSpaceDN/>
        <w:bidi w:val="0"/>
        <w:adjustRightInd w:val="0"/>
        <w:snapToGrid w:val="0"/>
        <w:spacing w:line="240" w:lineRule="auto"/>
        <w:ind w:firstLine="488"/>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7CA104FD">
      <w:pPr>
        <w:keepNext w:val="0"/>
        <w:keepLines w:val="0"/>
        <w:pageBreakBefore w:val="0"/>
        <w:widowControl/>
        <w:kinsoku/>
        <w:wordWrap/>
        <w:overflowPunct/>
        <w:topLinePunct w:val="0"/>
        <w:autoSpaceDE/>
        <w:autoSpaceDN/>
        <w:bidi w:val="0"/>
        <w:adjustRightInd w:val="0"/>
        <w:snapToGrid w:val="0"/>
        <w:spacing w:line="240" w:lineRule="auto"/>
        <w:ind w:firstLine="488"/>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十七、网络竞价系统因不可抗力、软硬件故障、非法入侵、恶意攻击等原因而导致系统异常、竞价活动中断的，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网站通知各意向受让方。继续报价或重新报价的方式如下：</w:t>
      </w:r>
    </w:p>
    <w:p w14:paraId="4CE233D6">
      <w:pPr>
        <w:keepNext w:val="0"/>
        <w:keepLines w:val="0"/>
        <w:pageBreakBefore w:val="0"/>
        <w:widowControl/>
        <w:kinsoku/>
        <w:wordWrap/>
        <w:overflowPunct/>
        <w:topLinePunct w:val="0"/>
        <w:autoSpaceDE/>
        <w:autoSpaceDN/>
        <w:bidi w:val="0"/>
        <w:adjustRightInd w:val="0"/>
        <w:snapToGrid w:val="0"/>
        <w:spacing w:line="240" w:lineRule="auto"/>
        <w:ind w:firstLine="488"/>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26854DC1">
      <w:pPr>
        <w:keepNext w:val="0"/>
        <w:keepLines w:val="0"/>
        <w:pageBreakBefore w:val="0"/>
        <w:widowControl/>
        <w:kinsoku/>
        <w:wordWrap/>
        <w:overflowPunct/>
        <w:topLinePunct w:val="0"/>
        <w:autoSpaceDE/>
        <w:autoSpaceDN/>
        <w:bidi w:val="0"/>
        <w:adjustRightInd w:val="0"/>
        <w:snapToGrid w:val="0"/>
        <w:spacing w:line="240" w:lineRule="auto"/>
        <w:ind w:firstLine="49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十八、本《资产受让网络竞价须知》传真件、扫描件与原件具有同等法律效力。</w:t>
      </w:r>
    </w:p>
    <w:p w14:paraId="499EE645">
      <w:pPr>
        <w:keepNext w:val="0"/>
        <w:keepLines w:val="0"/>
        <w:pageBreakBefore w:val="0"/>
        <w:widowControl/>
        <w:kinsoku/>
        <w:wordWrap/>
        <w:overflowPunct/>
        <w:topLinePunct w:val="0"/>
        <w:autoSpaceDE/>
        <w:autoSpaceDN/>
        <w:bidi w:val="0"/>
        <w:adjustRightInd w:val="0"/>
        <w:snapToGrid w:val="0"/>
        <w:spacing w:line="240" w:lineRule="auto"/>
        <w:ind w:right="-187" w:rightChars="-89"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4D4244C7">
      <w:pPr>
        <w:keepNext w:val="0"/>
        <w:keepLines w:val="0"/>
        <w:pageBreakBefore w:val="0"/>
        <w:widowControl/>
        <w:kinsoku/>
        <w:wordWrap/>
        <w:overflowPunct/>
        <w:topLinePunct w:val="0"/>
        <w:autoSpaceDE/>
        <w:autoSpaceDN/>
        <w:bidi w:val="0"/>
        <w:adjustRightInd w:val="0"/>
        <w:snapToGrid w:val="0"/>
        <w:spacing w:line="240" w:lineRule="auto"/>
        <w:ind w:right="-187" w:rightChars="-89" w:firstLine="480" w:firstLineChars="200"/>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p>
    <w:p w14:paraId="2AD87A7A">
      <w:pPr>
        <w:keepNext w:val="0"/>
        <w:keepLines w:val="0"/>
        <w:pageBreakBefore w:val="0"/>
        <w:widowControl/>
        <w:kinsoku/>
        <w:wordWrap/>
        <w:overflowPunct/>
        <w:topLinePunct w:val="0"/>
        <w:autoSpaceDE/>
        <w:autoSpaceDN/>
        <w:bidi w:val="0"/>
        <w:adjustRightInd w:val="0"/>
        <w:snapToGrid w:val="0"/>
        <w:spacing w:line="240" w:lineRule="auto"/>
        <w:ind w:right="-187" w:rightChars="-89" w:firstLine="480" w:firstLineChars="200"/>
        <w:jc w:val="left"/>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 xml:space="preserve">承诺方：         </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p>
    <w:p w14:paraId="4A1E7B54">
      <w:pPr>
        <w:keepNext w:val="0"/>
        <w:keepLines w:val="0"/>
        <w:pageBreakBefore w:val="0"/>
        <w:widowControl/>
        <w:kinsoku/>
        <w:wordWrap/>
        <w:overflowPunct/>
        <w:topLinePunct w:val="0"/>
        <w:autoSpaceDE/>
        <w:autoSpaceDN/>
        <w:bidi w:val="0"/>
        <w:adjustRightInd w:val="0"/>
        <w:snapToGrid w:val="0"/>
        <w:spacing w:line="240" w:lineRule="auto"/>
        <w:ind w:right="-187" w:rightChars="-89" w:firstLine="470" w:firstLineChars="196"/>
        <w:jc w:val="left"/>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联系人：</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 xml:space="preserve">手  机： </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日</w:t>
      </w:r>
    </w:p>
    <w:p w14:paraId="1E471453">
      <w:pPr>
        <w:keepNext w:val="0"/>
        <w:keepLines w:val="0"/>
        <w:pageBreakBefore w:val="0"/>
        <w:widowControl/>
        <w:kinsoku/>
        <w:wordWrap/>
        <w:overflowPunct/>
        <w:topLinePunct w:val="0"/>
        <w:autoSpaceDE/>
        <w:autoSpaceDN/>
        <w:bidi w:val="0"/>
        <w:snapToGrid w:val="0"/>
        <w:spacing w:line="240" w:lineRule="auto"/>
        <w:ind w:firstLine="480" w:firstLineChars="200"/>
        <w:jc w:val="left"/>
        <w:textAlignment w:val="auto"/>
        <w:rPr>
          <w:rFonts w:hint="eastAsia" w:ascii="仿宋" w:hAnsi="仿宋" w:eastAsia="仿宋" w:cs="仿宋"/>
          <w:color w:val="4472C4" w:themeColor="accent5"/>
          <w:kern w:val="0"/>
          <w:sz w:val="24"/>
          <w:szCs w:val="24"/>
          <w:lang w:val="en-US" w:eastAsia="zh-CN"/>
          <w14:textFill>
            <w14:solidFill>
              <w14:schemeClr w14:val="accent5"/>
            </w14:solidFill>
          </w14:textFill>
        </w:rPr>
      </w:pPr>
    </w:p>
    <w:p w14:paraId="443431B8">
      <w:pPr>
        <w:pStyle w:val="2"/>
        <w:spacing w:line="240" w:lineRule="auto"/>
        <w:rPr>
          <w:rFonts w:hint="eastAsia" w:ascii="仿宋" w:hAnsi="仿宋" w:eastAsia="仿宋" w:cs="仿宋"/>
          <w:color w:val="4472C4" w:themeColor="accent5"/>
          <w:kern w:val="0"/>
          <w:sz w:val="24"/>
          <w:szCs w:val="24"/>
          <w:lang w:val="en-US" w:eastAsia="zh-CN"/>
          <w14:textFill>
            <w14:solidFill>
              <w14:schemeClr w14:val="accent5"/>
            </w14:solidFill>
          </w14:textFill>
        </w:rPr>
      </w:pPr>
    </w:p>
    <w:p w14:paraId="07C4EF5D">
      <w:pPr>
        <w:pStyle w:val="2"/>
        <w:spacing w:line="240" w:lineRule="auto"/>
        <w:rPr>
          <w:rFonts w:hint="eastAsia" w:ascii="仿宋" w:hAnsi="仿宋" w:eastAsia="仿宋" w:cs="仿宋"/>
          <w:color w:val="4472C4" w:themeColor="accent5"/>
          <w:kern w:val="0"/>
          <w:sz w:val="24"/>
          <w:szCs w:val="24"/>
          <w:lang w:val="en-US" w:eastAsia="zh-CN"/>
          <w14:textFill>
            <w14:solidFill>
              <w14:schemeClr w14:val="accent5"/>
            </w14:solidFill>
          </w14:textFill>
        </w:rPr>
      </w:pPr>
    </w:p>
    <w:p w14:paraId="110735B9">
      <w:pPr>
        <w:pStyle w:val="2"/>
        <w:spacing w:line="240" w:lineRule="auto"/>
        <w:rPr>
          <w:rFonts w:hint="eastAsia" w:ascii="仿宋" w:hAnsi="仿宋" w:eastAsia="仿宋" w:cs="仿宋"/>
          <w:color w:val="4472C4" w:themeColor="accent5"/>
          <w:kern w:val="0"/>
          <w:sz w:val="24"/>
          <w:szCs w:val="24"/>
          <w:lang w:val="en-US" w:eastAsia="zh-CN"/>
          <w14:textFill>
            <w14:solidFill>
              <w14:schemeClr w14:val="accent5"/>
            </w14:solidFill>
          </w14:textFill>
        </w:rPr>
      </w:pPr>
    </w:p>
    <w:p w14:paraId="49E757DB">
      <w:pPr>
        <w:pStyle w:val="2"/>
        <w:spacing w:line="240" w:lineRule="auto"/>
        <w:rPr>
          <w:rFonts w:hint="eastAsia" w:ascii="仿宋" w:hAnsi="仿宋" w:eastAsia="仿宋" w:cs="仿宋"/>
          <w:color w:val="4472C4" w:themeColor="accent5"/>
          <w:kern w:val="0"/>
          <w:sz w:val="24"/>
          <w:szCs w:val="24"/>
          <w:lang w:val="en-US" w:eastAsia="zh-CN"/>
          <w14:textFill>
            <w14:solidFill>
              <w14:schemeClr w14:val="accent5"/>
            </w14:solidFill>
          </w14:textFill>
        </w:rPr>
      </w:pPr>
    </w:p>
    <w:p w14:paraId="027635F4">
      <w:pPr>
        <w:keepNext w:val="0"/>
        <w:keepLines w:val="0"/>
        <w:pageBreakBefore w:val="0"/>
        <w:widowControl/>
        <w:kinsoku/>
        <w:wordWrap/>
        <w:overflowPunct/>
        <w:topLinePunct w:val="0"/>
        <w:autoSpaceDE/>
        <w:autoSpaceDN/>
        <w:bidi w:val="0"/>
        <w:snapToGrid w:val="0"/>
        <w:spacing w:line="240" w:lineRule="auto"/>
        <w:ind w:firstLine="480" w:firstLineChars="200"/>
        <w:jc w:val="left"/>
        <w:textAlignment w:val="auto"/>
        <w:rPr>
          <w:rFonts w:hint="eastAsia" w:ascii="仿宋" w:hAnsi="仿宋" w:eastAsia="仿宋" w:cs="仿宋"/>
          <w:color w:val="4472C4" w:themeColor="accent5"/>
          <w:kern w:val="0"/>
          <w:sz w:val="24"/>
          <w:szCs w:val="24"/>
          <w14:textFill>
            <w14:solidFill>
              <w14:schemeClr w14:val="accent5"/>
            </w14:solidFill>
          </w14:textFill>
        </w:rPr>
      </w:pPr>
      <w:r>
        <w:rPr>
          <w:rFonts w:hint="eastAsia" w:ascii="仿宋" w:hAnsi="仿宋" w:eastAsia="仿宋" w:cs="仿宋"/>
          <w:color w:val="4472C4" w:themeColor="accent5"/>
          <w:kern w:val="0"/>
          <w:sz w:val="24"/>
          <w:szCs w:val="24"/>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4"/>
          <w:szCs w:val="24"/>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4"/>
          <w:szCs w:val="24"/>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4"/>
          <w:szCs w:val="24"/>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4"/>
          <w:szCs w:val="24"/>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4"/>
          <w:szCs w:val="24"/>
          <w:lang w:val="en-US" w:eastAsia="zh-CN"/>
          <w14:textFill>
            <w14:solidFill>
              <w14:schemeClr w14:val="accent5"/>
            </w14:solidFill>
          </w14:textFill>
        </w:rPr>
        <w:t xml:space="preserve"> </w:t>
      </w:r>
      <w:r>
        <w:rPr>
          <w:rFonts w:hint="default" w:ascii="仿宋" w:hAnsi="仿宋" w:eastAsia="仿宋" w:cs="仿宋"/>
          <w:color w:val="4472C4" w:themeColor="accent5"/>
          <w:kern w:val="0"/>
          <w:sz w:val="24"/>
          <w:szCs w:val="24"/>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4"/>
          <w:szCs w:val="24"/>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4"/>
          <w:szCs w:val="24"/>
          <w:lang w:val="en-US" w:eastAsia="zh-CN"/>
          <w14:textFill>
            <w14:solidFill>
              <w14:schemeClr w14:val="accent5"/>
            </w14:solidFill>
          </w14:textFill>
        </w:rPr>
        <w:t xml:space="preserve"> </w:t>
      </w:r>
      <w:r>
        <w:rPr>
          <w:rFonts w:hint="eastAsia" w:ascii="仿宋" w:hAnsi="仿宋" w:eastAsia="仿宋" w:cs="仿宋"/>
          <w:color w:val="4472C4" w:themeColor="accent5"/>
          <w:kern w:val="0"/>
          <w:sz w:val="24"/>
          <w:szCs w:val="24"/>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4"/>
          <w:szCs w:val="24"/>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4"/>
          <w:szCs w:val="24"/>
          <w:lang w:eastAsia="zh-CN"/>
          <w14:textFill>
            <w14:solidFill>
              <w14:schemeClr w14:val="accent5"/>
            </w14:solidFill>
          </w14:textFill>
        </w:rPr>
        <w:t>，</w:t>
      </w:r>
      <w:r>
        <w:rPr>
          <w:rFonts w:hint="eastAsia" w:ascii="仿宋" w:hAnsi="仿宋" w:eastAsia="仿宋" w:cs="仿宋"/>
          <w:color w:val="4472C4" w:themeColor="accent5"/>
          <w:kern w:val="0"/>
          <w:sz w:val="24"/>
          <w:szCs w:val="24"/>
          <w:lang w:val="en-US" w:eastAsia="zh-CN"/>
          <w14:textFill>
            <w14:solidFill>
              <w14:schemeClr w14:val="accent5"/>
            </w14:solidFill>
          </w14:textFill>
        </w:rPr>
        <w:t>本公司</w:t>
      </w:r>
      <w:r>
        <w:rPr>
          <w:rFonts w:hint="eastAsia" w:ascii="仿宋" w:hAnsi="仿宋" w:eastAsia="仿宋" w:cs="仿宋"/>
          <w:color w:val="4472C4" w:themeColor="accent5"/>
          <w:kern w:val="0"/>
          <w:sz w:val="24"/>
          <w:szCs w:val="24"/>
          <w14:textFill>
            <w14:solidFill>
              <w14:schemeClr w14:val="accent5"/>
            </w14:solidFill>
          </w14:textFill>
        </w:rPr>
        <w:t>不得以不了解转让标的为由退还转让标的，否则将视为违约；非因转让方原因所引发的风险因素，由我方自行承担。</w:t>
      </w:r>
    </w:p>
    <w:p w14:paraId="73B21E9F">
      <w:pPr>
        <w:keepNext w:val="0"/>
        <w:keepLines w:val="0"/>
        <w:pageBreakBefore w:val="0"/>
        <w:widowControl/>
        <w:kinsoku/>
        <w:wordWrap/>
        <w:overflowPunct/>
        <w:topLinePunct w:val="0"/>
        <w:autoSpaceDE/>
        <w:autoSpaceDN/>
        <w:bidi w:val="0"/>
        <w:adjustRightInd w:val="0"/>
        <w:snapToGrid w:val="0"/>
        <w:spacing w:line="240" w:lineRule="auto"/>
        <w:ind w:right="-187" w:rightChars="-89"/>
        <w:jc w:val="left"/>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p>
    <w:p w14:paraId="341EC004">
      <w:pPr>
        <w:keepNext w:val="0"/>
        <w:keepLines w:val="0"/>
        <w:pageBreakBefore w:val="0"/>
        <w:widowControl/>
        <w:kinsoku/>
        <w:wordWrap/>
        <w:overflowPunct/>
        <w:topLinePunct w:val="0"/>
        <w:autoSpaceDE/>
        <w:autoSpaceDN/>
        <w:bidi w:val="0"/>
        <w:adjustRightInd w:val="0"/>
        <w:snapToGrid w:val="0"/>
        <w:spacing w:line="240" w:lineRule="auto"/>
        <w:ind w:left="596" w:leftChars="284" w:right="-187" w:rightChars="-89" w:firstLine="0" w:firstLineChars="0"/>
        <w:jc w:val="center"/>
        <w:textAlignment w:val="auto"/>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本人签名：</w:t>
      </w:r>
    </w:p>
    <w:p w14:paraId="329D4058">
      <w:pPr>
        <w:keepNext w:val="0"/>
        <w:keepLines w:val="0"/>
        <w:pageBreakBefore w:val="0"/>
        <w:widowControl/>
        <w:kinsoku/>
        <w:wordWrap/>
        <w:overflowPunct/>
        <w:topLinePunct w:val="0"/>
        <w:autoSpaceDE/>
        <w:autoSpaceDN/>
        <w:bidi w:val="0"/>
        <w:adjustRightInd w:val="0"/>
        <w:snapToGrid w:val="0"/>
        <w:spacing w:line="240" w:lineRule="auto"/>
        <w:ind w:right="-187" w:rightChars="-89" w:firstLine="480" w:firstLineChars="200"/>
        <w:jc w:val="center"/>
        <w:textAlignment w:val="auto"/>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4"/>
          <w:szCs w:val="24"/>
          <w14:textFill>
            <w14:solidFill>
              <w14:schemeClr w14:val="tx1">
                <w14:lumMod w14:val="95000"/>
                <w14:lumOff w14:val="5000"/>
              </w14:schemeClr>
            </w14:solidFill>
          </w14:textFill>
        </w:rPr>
        <w:t>日</w:t>
      </w:r>
    </w:p>
    <w:p w14:paraId="0701F7AB">
      <w:pPr>
        <w:spacing w:line="240" w:lineRule="auto"/>
        <w:jc w:val="both"/>
        <w:rPr>
          <w:rFonts w:hint="eastAsia"/>
          <w:b/>
          <w:sz w:val="36"/>
          <w:szCs w:val="36"/>
        </w:rPr>
      </w:pPr>
    </w:p>
    <w:p w14:paraId="2ABE137C">
      <w:pPr>
        <w:spacing w:line="240" w:lineRule="auto"/>
        <w:ind w:firstLine="1807" w:firstLineChars="500"/>
        <w:jc w:val="both"/>
        <w:rPr>
          <w:rFonts w:hint="eastAsia"/>
          <w:b/>
          <w:sz w:val="36"/>
          <w:szCs w:val="36"/>
        </w:rPr>
      </w:pPr>
    </w:p>
    <w:p w14:paraId="634A4E04">
      <w:pPr>
        <w:spacing w:line="240" w:lineRule="auto"/>
        <w:ind w:firstLine="1807" w:firstLineChars="500"/>
        <w:jc w:val="both"/>
        <w:rPr>
          <w:rFonts w:hint="eastAsia"/>
          <w:b/>
          <w:sz w:val="36"/>
          <w:szCs w:val="36"/>
        </w:rPr>
      </w:pPr>
    </w:p>
    <w:p w14:paraId="070115A3">
      <w:pPr>
        <w:pStyle w:val="2"/>
        <w:rPr>
          <w:rFonts w:hint="eastAsia"/>
          <w:b/>
          <w:sz w:val="36"/>
          <w:szCs w:val="36"/>
        </w:rPr>
      </w:pPr>
    </w:p>
    <w:p w14:paraId="45CDF750">
      <w:pPr>
        <w:pStyle w:val="2"/>
        <w:rPr>
          <w:rFonts w:hint="eastAsia"/>
          <w:b/>
          <w:sz w:val="36"/>
          <w:szCs w:val="36"/>
        </w:rPr>
      </w:pPr>
    </w:p>
    <w:p w14:paraId="6716988E">
      <w:pPr>
        <w:pStyle w:val="2"/>
        <w:spacing w:line="240" w:lineRule="auto"/>
        <w:rPr>
          <w:rFonts w:hint="eastAsia"/>
          <w:b/>
          <w:sz w:val="36"/>
          <w:szCs w:val="36"/>
        </w:rPr>
      </w:pPr>
    </w:p>
    <w:p w14:paraId="0B0525C8">
      <w:pPr>
        <w:pStyle w:val="2"/>
        <w:spacing w:line="240" w:lineRule="auto"/>
        <w:rPr>
          <w:rFonts w:hint="eastAsia"/>
          <w:b/>
          <w:sz w:val="36"/>
          <w:szCs w:val="36"/>
        </w:rPr>
      </w:pPr>
    </w:p>
    <w:p w14:paraId="24DEE502">
      <w:pPr>
        <w:pStyle w:val="2"/>
        <w:spacing w:line="240" w:lineRule="auto"/>
        <w:rPr>
          <w:rFonts w:hint="eastAsia"/>
          <w:b/>
          <w:sz w:val="36"/>
          <w:szCs w:val="36"/>
        </w:rPr>
      </w:pPr>
    </w:p>
    <w:p w14:paraId="2C6B4722">
      <w:pPr>
        <w:pStyle w:val="2"/>
        <w:spacing w:line="240" w:lineRule="auto"/>
        <w:rPr>
          <w:rFonts w:hint="eastAsia"/>
          <w:b/>
          <w:sz w:val="36"/>
          <w:szCs w:val="36"/>
        </w:rPr>
      </w:pPr>
    </w:p>
    <w:p w14:paraId="05BAB713">
      <w:pPr>
        <w:pStyle w:val="2"/>
        <w:spacing w:line="240" w:lineRule="auto"/>
        <w:rPr>
          <w:rFonts w:hint="eastAsia"/>
          <w:b/>
          <w:sz w:val="36"/>
          <w:szCs w:val="36"/>
        </w:rPr>
      </w:pPr>
    </w:p>
    <w:p w14:paraId="30AB7800">
      <w:pPr>
        <w:pStyle w:val="2"/>
        <w:spacing w:line="240" w:lineRule="auto"/>
        <w:rPr>
          <w:rFonts w:hint="eastAsia"/>
          <w:b/>
          <w:sz w:val="36"/>
          <w:szCs w:val="36"/>
        </w:rPr>
      </w:pPr>
    </w:p>
    <w:p w14:paraId="26690DA9">
      <w:pPr>
        <w:pStyle w:val="2"/>
        <w:spacing w:line="240" w:lineRule="auto"/>
        <w:rPr>
          <w:rFonts w:hint="eastAsia"/>
          <w:b/>
          <w:sz w:val="36"/>
          <w:szCs w:val="36"/>
        </w:rPr>
      </w:pPr>
    </w:p>
    <w:p w14:paraId="0995BF12">
      <w:pPr>
        <w:spacing w:line="240" w:lineRule="auto"/>
        <w:jc w:val="both"/>
        <w:rPr>
          <w:rFonts w:hint="eastAsia"/>
          <w:b/>
          <w:sz w:val="36"/>
          <w:szCs w:val="36"/>
        </w:rPr>
      </w:pPr>
    </w:p>
    <w:p w14:paraId="5FF2E9D6">
      <w:pPr>
        <w:spacing w:line="240" w:lineRule="auto"/>
        <w:ind w:firstLine="1807" w:firstLineChars="500"/>
        <w:jc w:val="both"/>
        <w:rPr>
          <w:rFonts w:hint="eastAsia" w:ascii="宋体" w:hAnsi="宋体"/>
          <w:sz w:val="36"/>
          <w:szCs w:val="36"/>
        </w:rPr>
      </w:pPr>
      <w:r>
        <w:rPr>
          <w:rFonts w:hint="eastAsia"/>
          <w:b/>
          <w:sz w:val="36"/>
          <w:szCs w:val="36"/>
        </w:rPr>
        <w:t>现场踏勘</w:t>
      </w:r>
      <w:r>
        <w:rPr>
          <w:b/>
          <w:sz w:val="36"/>
          <w:szCs w:val="36"/>
        </w:rPr>
        <w:t>确认书</w:t>
      </w:r>
    </w:p>
    <w:p w14:paraId="58D54CD3">
      <w:pPr>
        <w:spacing w:line="240" w:lineRule="auto"/>
        <w:ind w:firstLine="440" w:firstLineChars="200"/>
        <w:rPr>
          <w:rFonts w:hint="eastAsia" w:ascii="宋体" w:hAnsi="宋体" w:eastAsia="宋体" w:cs="Times New Roman"/>
          <w:bCs/>
          <w:sz w:val="22"/>
          <w:szCs w:val="20"/>
          <w:lang w:val="en-US" w:eastAsia="zh-CN"/>
        </w:rPr>
      </w:pPr>
    </w:p>
    <w:p w14:paraId="3707BCE7">
      <w:pPr>
        <w:spacing w:line="240" w:lineRule="auto"/>
        <w:ind w:firstLine="440" w:firstLineChars="200"/>
        <w:rPr>
          <w:rFonts w:hint="eastAsia" w:ascii="宋体" w:hAnsi="宋体" w:eastAsia="宋体" w:cs="Times New Roman"/>
          <w:bCs/>
          <w:sz w:val="22"/>
          <w:szCs w:val="20"/>
        </w:rPr>
      </w:pPr>
      <w:r>
        <w:rPr>
          <w:rFonts w:hint="eastAsia" w:ascii="宋体" w:hAnsi="宋体" w:eastAsia="宋体" w:cs="Times New Roman"/>
          <w:bCs/>
          <w:sz w:val="22"/>
          <w:szCs w:val="20"/>
          <w:lang w:val="en-US" w:eastAsia="zh-CN"/>
        </w:rPr>
        <w:t>枣庄市公共资源国有产权交易有限公司：</w:t>
      </w:r>
    </w:p>
    <w:p w14:paraId="793555A6">
      <w:pPr>
        <w:spacing w:line="240" w:lineRule="auto"/>
        <w:ind w:firstLine="440" w:firstLineChars="200"/>
        <w:rPr>
          <w:rFonts w:hint="eastAsia" w:ascii="宋体" w:hAnsi="宋体" w:eastAsia="宋体" w:cs="Times New Roman"/>
          <w:bCs/>
          <w:sz w:val="22"/>
          <w:szCs w:val="20"/>
          <w:lang w:val="en-US" w:eastAsia="zh-CN"/>
        </w:rPr>
      </w:pPr>
      <w:r>
        <w:rPr>
          <w:rFonts w:hint="eastAsia" w:ascii="宋体" w:hAnsi="宋体" w:eastAsia="宋体" w:cs="Times New Roman"/>
          <w:bCs/>
          <w:sz w:val="22"/>
          <w:szCs w:val="20"/>
          <w:lang w:val="en-US" w:eastAsia="zh-CN"/>
        </w:rPr>
        <w:t>就薛城区人民法院所属</w:t>
      </w:r>
      <w:r>
        <w:rPr>
          <w:rFonts w:ascii="Helvetica" w:hAnsi="Helvetica" w:eastAsia="Helvetica" w:cs="Helvetica"/>
          <w:i w:val="0"/>
          <w:iCs w:val="0"/>
          <w:caps w:val="0"/>
          <w:color w:val="5F5F5F"/>
          <w:spacing w:val="0"/>
          <w:sz w:val="21"/>
          <w:szCs w:val="21"/>
          <w:shd w:val="clear" w:fill="FFFFFF"/>
        </w:rPr>
        <w:t>徐庄镇人民政府所属环卫设备资产报废处置</w:t>
      </w:r>
      <w:r>
        <w:rPr>
          <w:rFonts w:hint="eastAsia" w:ascii="宋体" w:hAnsi="宋体" w:eastAsia="宋体" w:cs="Times New Roman"/>
          <w:bCs/>
          <w:sz w:val="22"/>
          <w:szCs w:val="20"/>
          <w:lang w:val="en-US" w:eastAsia="zh-CN"/>
        </w:rPr>
        <w:t>一事，本公司（本人）已前往现场进行实地勘察。</w:t>
      </w:r>
    </w:p>
    <w:p w14:paraId="1D0C7A43">
      <w:pPr>
        <w:spacing w:line="240" w:lineRule="auto"/>
        <w:ind w:firstLine="440" w:firstLineChars="200"/>
        <w:rPr>
          <w:rFonts w:hint="eastAsia" w:ascii="宋体" w:hAnsi="宋体" w:eastAsia="宋体" w:cs="Times New Roman"/>
          <w:bCs/>
          <w:sz w:val="22"/>
          <w:szCs w:val="20"/>
          <w:lang w:val="en-US" w:eastAsia="zh-CN"/>
        </w:rPr>
      </w:pPr>
      <w:r>
        <w:rPr>
          <w:rFonts w:hint="eastAsia" w:ascii="宋体" w:hAnsi="宋体" w:eastAsia="宋体" w:cs="Times New Roman"/>
          <w:bCs/>
          <w:sz w:val="22"/>
          <w:szCs w:val="20"/>
          <w:lang w:val="en-US" w:eastAsia="zh-CN"/>
        </w:rPr>
        <w:t>经勘察，本公司（本人）确认如下：</w:t>
      </w:r>
    </w:p>
    <w:p w14:paraId="707F17D8">
      <w:pPr>
        <w:spacing w:line="240" w:lineRule="auto"/>
        <w:ind w:firstLine="440" w:firstLineChars="200"/>
        <w:rPr>
          <w:rFonts w:hint="eastAsia" w:ascii="宋体" w:hAnsi="宋体"/>
          <w:bCs/>
          <w:sz w:val="22"/>
          <w:szCs w:val="20"/>
        </w:rPr>
      </w:pPr>
      <w:r>
        <w:rPr>
          <w:rFonts w:hint="eastAsia" w:ascii="宋体" w:hAnsi="宋体" w:eastAsia="宋体" w:cs="Times New Roman"/>
          <w:bCs/>
          <w:sz w:val="22"/>
          <w:szCs w:val="20"/>
          <w:lang w:val="en-US" w:eastAsia="zh-CN"/>
        </w:rPr>
        <w:t>一、本公司（本人）对本次资产实际转让范</w:t>
      </w:r>
      <w:r>
        <w:rPr>
          <w:rFonts w:hint="eastAsia" w:ascii="宋体" w:hAnsi="宋体"/>
          <w:bCs/>
          <w:sz w:val="22"/>
          <w:szCs w:val="20"/>
        </w:rPr>
        <w:t>围和内容及相对应的实物已进行了核对且并确认无误；对所有转让标的的范围、现状、瑕疵、地理位置以及周边环境等各种情况均已经充分了解。</w:t>
      </w:r>
    </w:p>
    <w:p w14:paraId="5D17A066">
      <w:pPr>
        <w:spacing w:line="240" w:lineRule="auto"/>
        <w:ind w:firstLine="440" w:firstLineChars="200"/>
        <w:rPr>
          <w:rFonts w:hint="eastAsia" w:ascii="宋体" w:hAnsi="宋体"/>
          <w:bCs/>
          <w:sz w:val="22"/>
          <w:szCs w:val="20"/>
        </w:rPr>
      </w:pPr>
      <w:r>
        <w:rPr>
          <w:rFonts w:hint="eastAsia" w:ascii="宋体" w:hAnsi="宋体"/>
          <w:bCs/>
          <w:sz w:val="22"/>
          <w:szCs w:val="20"/>
        </w:rPr>
        <w:t>二、本公司（本人）确认转让方已充分履行了告知义务。完全认可标的资产实际转让范围和内容及相对应的实物等各方面的状况，自愿接受转让标的全部现状及瑕疵，并愿承担一切责任与风险。</w:t>
      </w:r>
    </w:p>
    <w:p w14:paraId="57E635CA">
      <w:pPr>
        <w:spacing w:line="240" w:lineRule="auto"/>
        <w:ind w:firstLine="440" w:firstLineChars="200"/>
        <w:rPr>
          <w:rFonts w:hint="eastAsia" w:ascii="宋体" w:hAnsi="宋体"/>
          <w:bCs/>
          <w:sz w:val="22"/>
          <w:szCs w:val="20"/>
        </w:rPr>
      </w:pPr>
    </w:p>
    <w:p w14:paraId="6B51220D">
      <w:pPr>
        <w:spacing w:line="240" w:lineRule="auto"/>
        <w:ind w:firstLine="440" w:firstLineChars="200"/>
        <w:rPr>
          <w:rFonts w:hint="eastAsia" w:ascii="宋体" w:hAnsi="宋体"/>
          <w:bCs/>
          <w:sz w:val="22"/>
          <w:szCs w:val="20"/>
        </w:rPr>
      </w:pPr>
    </w:p>
    <w:p w14:paraId="1834929B">
      <w:pPr>
        <w:spacing w:line="240" w:lineRule="auto"/>
        <w:ind w:firstLine="440" w:firstLineChars="200"/>
        <w:rPr>
          <w:rFonts w:hint="eastAsia" w:ascii="宋体" w:hAnsi="宋体"/>
          <w:bCs/>
          <w:sz w:val="22"/>
          <w:szCs w:val="20"/>
        </w:rPr>
      </w:pPr>
    </w:p>
    <w:p w14:paraId="42615C84">
      <w:pPr>
        <w:spacing w:line="240" w:lineRule="auto"/>
        <w:ind w:firstLine="440" w:firstLineChars="200"/>
        <w:rPr>
          <w:rFonts w:hint="eastAsia" w:ascii="宋体" w:hAnsi="宋体"/>
          <w:bCs/>
          <w:sz w:val="22"/>
          <w:szCs w:val="20"/>
        </w:rPr>
      </w:pPr>
    </w:p>
    <w:p w14:paraId="13E7FC34">
      <w:pPr>
        <w:spacing w:line="240" w:lineRule="auto"/>
        <w:ind w:firstLine="440" w:firstLineChars="200"/>
        <w:rPr>
          <w:rFonts w:hint="eastAsia" w:ascii="宋体" w:hAnsi="宋体"/>
          <w:bCs/>
          <w:sz w:val="22"/>
          <w:szCs w:val="20"/>
        </w:rPr>
      </w:pPr>
    </w:p>
    <w:p w14:paraId="479116ED">
      <w:pPr>
        <w:spacing w:line="240" w:lineRule="auto"/>
        <w:ind w:firstLine="1980" w:firstLineChars="900"/>
        <w:rPr>
          <w:rFonts w:hint="eastAsia" w:ascii="宋体" w:hAnsi="宋体"/>
          <w:bCs/>
          <w:sz w:val="22"/>
          <w:szCs w:val="20"/>
        </w:rPr>
      </w:pPr>
      <w:r>
        <w:rPr>
          <w:rFonts w:hint="eastAsia" w:ascii="宋体" w:hAnsi="宋体"/>
          <w:bCs/>
          <w:sz w:val="22"/>
          <w:szCs w:val="20"/>
        </w:rPr>
        <w:t xml:space="preserve">意向受让方（踏勘人）（盖章）：                </w:t>
      </w:r>
    </w:p>
    <w:p w14:paraId="332D4691">
      <w:pPr>
        <w:spacing w:line="240" w:lineRule="auto"/>
        <w:ind w:firstLine="1980" w:firstLineChars="900"/>
        <w:rPr>
          <w:rFonts w:hint="eastAsia" w:ascii="宋体" w:hAnsi="宋体"/>
          <w:bCs/>
          <w:sz w:val="22"/>
          <w:szCs w:val="20"/>
        </w:rPr>
      </w:pPr>
      <w:r>
        <w:rPr>
          <w:rFonts w:hint="eastAsia" w:ascii="宋体" w:hAnsi="宋体"/>
          <w:bCs/>
          <w:sz w:val="22"/>
          <w:szCs w:val="20"/>
        </w:rPr>
        <w:t xml:space="preserve">授权代表人（签字）：     </w:t>
      </w:r>
    </w:p>
    <w:p w14:paraId="51C4E351">
      <w:pPr>
        <w:pStyle w:val="2"/>
        <w:spacing w:line="240" w:lineRule="auto"/>
        <w:rPr>
          <w:rFonts w:hint="eastAsia" w:ascii="宋体" w:hAnsi="宋体"/>
          <w:bCs/>
          <w:sz w:val="22"/>
          <w:szCs w:val="15"/>
        </w:rPr>
      </w:pPr>
      <w:r>
        <w:rPr>
          <w:rFonts w:hint="eastAsia" w:ascii="宋体" w:hAnsi="宋体"/>
          <w:bCs/>
          <w:sz w:val="22"/>
          <w:szCs w:val="15"/>
        </w:rPr>
        <w:t xml:space="preserve">                      </w:t>
      </w:r>
      <w:r>
        <w:rPr>
          <w:rFonts w:ascii="宋体" w:hAnsi="宋体"/>
          <w:bCs/>
          <w:sz w:val="22"/>
          <w:szCs w:val="15"/>
        </w:rPr>
        <w:t xml:space="preserve">     </w:t>
      </w:r>
      <w:r>
        <w:rPr>
          <w:rFonts w:hint="eastAsia" w:ascii="宋体" w:hAnsi="宋体"/>
          <w:bCs/>
          <w:sz w:val="22"/>
          <w:szCs w:val="15"/>
        </w:rPr>
        <w:t xml:space="preserve">年    月   </w:t>
      </w:r>
      <w:r>
        <w:rPr>
          <w:rFonts w:ascii="宋体" w:hAnsi="宋体"/>
          <w:bCs/>
          <w:sz w:val="22"/>
          <w:szCs w:val="15"/>
        </w:rPr>
        <w:t xml:space="preserve"> </w:t>
      </w:r>
      <w:r>
        <w:rPr>
          <w:rFonts w:hint="eastAsia" w:ascii="宋体" w:hAnsi="宋体"/>
          <w:bCs/>
          <w:sz w:val="22"/>
          <w:szCs w:val="15"/>
        </w:rPr>
        <w:t xml:space="preserve">日       </w:t>
      </w:r>
    </w:p>
    <w:p w14:paraId="4EA557DE">
      <w:pPr>
        <w:pStyle w:val="2"/>
        <w:spacing w:line="240" w:lineRule="auto"/>
        <w:rPr>
          <w:rFonts w:hint="eastAsia" w:ascii="宋体" w:hAnsi="宋体"/>
          <w:bCs/>
          <w:sz w:val="22"/>
          <w:szCs w:val="15"/>
        </w:rPr>
      </w:pPr>
    </w:p>
    <w:p w14:paraId="00BC00F7">
      <w:pPr>
        <w:pStyle w:val="2"/>
        <w:spacing w:line="240" w:lineRule="auto"/>
        <w:rPr>
          <w:rFonts w:hint="eastAsia" w:ascii="宋体" w:hAnsi="宋体"/>
          <w:bCs/>
          <w:sz w:val="22"/>
          <w:szCs w:val="15"/>
        </w:rPr>
      </w:pPr>
    </w:p>
    <w:p w14:paraId="48B38905">
      <w:pPr>
        <w:pStyle w:val="2"/>
        <w:spacing w:line="240" w:lineRule="auto"/>
        <w:rPr>
          <w:rFonts w:hint="eastAsia" w:ascii="宋体" w:hAnsi="宋体"/>
          <w:bCs/>
          <w:sz w:val="22"/>
          <w:szCs w:val="15"/>
        </w:rPr>
      </w:pPr>
    </w:p>
    <w:p w14:paraId="3A691D0B">
      <w:pPr>
        <w:pStyle w:val="2"/>
        <w:spacing w:line="240" w:lineRule="auto"/>
        <w:rPr>
          <w:rFonts w:hint="eastAsia" w:ascii="宋体" w:hAnsi="宋体"/>
          <w:bCs/>
          <w:sz w:val="22"/>
          <w:szCs w:val="15"/>
        </w:rPr>
      </w:pPr>
    </w:p>
    <w:p w14:paraId="7B6DEF69">
      <w:pPr>
        <w:spacing w:line="240" w:lineRule="auto"/>
        <w:ind w:firstLine="2168" w:firstLineChars="600"/>
        <w:rPr>
          <w:rFonts w:hint="eastAsia"/>
          <w:b/>
          <w:bCs/>
          <w:sz w:val="36"/>
          <w:szCs w:val="36"/>
          <w:lang w:val="en-US" w:eastAsia="zh-CN"/>
        </w:rPr>
      </w:pPr>
    </w:p>
    <w:p w14:paraId="42390141">
      <w:pPr>
        <w:spacing w:line="240" w:lineRule="auto"/>
        <w:ind w:firstLine="2168" w:firstLineChars="600"/>
        <w:rPr>
          <w:rFonts w:hint="eastAsia"/>
          <w:b/>
          <w:bCs/>
          <w:sz w:val="36"/>
          <w:szCs w:val="36"/>
          <w:lang w:val="en-US" w:eastAsia="zh-CN"/>
        </w:rPr>
      </w:pPr>
    </w:p>
    <w:p w14:paraId="44D66F60">
      <w:pPr>
        <w:pStyle w:val="2"/>
        <w:spacing w:line="240" w:lineRule="auto"/>
        <w:rPr>
          <w:rStyle w:val="13"/>
          <w:rFonts w:hint="eastAsia" w:ascii="黑体" w:hAnsi="黑体" w:eastAsia="黑体" w:cs="黑体"/>
          <w:b/>
          <w:bCs/>
          <w:sz w:val="44"/>
          <w:szCs w:val="44"/>
        </w:rPr>
      </w:pPr>
    </w:p>
    <w:p w14:paraId="023BABFD">
      <w:pPr>
        <w:snapToGrid w:val="0"/>
        <w:spacing w:line="240" w:lineRule="auto"/>
        <w:jc w:val="center"/>
        <w:rPr>
          <w:rStyle w:val="13"/>
          <w:rFonts w:ascii="黑体" w:hAnsi="黑体" w:eastAsia="黑体" w:cs="黑体"/>
          <w:b/>
          <w:bCs/>
          <w:sz w:val="44"/>
          <w:szCs w:val="44"/>
        </w:rPr>
      </w:pPr>
      <w:r>
        <w:rPr>
          <w:rStyle w:val="13"/>
          <w:rFonts w:hint="eastAsia" w:ascii="黑体" w:hAnsi="黑体" w:eastAsia="黑体" w:cs="黑体"/>
          <w:b/>
          <w:bCs/>
          <w:sz w:val="44"/>
          <w:szCs w:val="44"/>
        </w:rPr>
        <w:t>咨</w:t>
      </w:r>
    </w:p>
    <w:p w14:paraId="3669B14E">
      <w:pPr>
        <w:snapToGrid w:val="0"/>
        <w:spacing w:line="240" w:lineRule="auto"/>
        <w:jc w:val="center"/>
        <w:rPr>
          <w:rStyle w:val="13"/>
          <w:rFonts w:ascii="黑体" w:hAnsi="黑体" w:eastAsia="黑体" w:cs="黑体"/>
          <w:b/>
          <w:bCs/>
          <w:sz w:val="44"/>
          <w:szCs w:val="44"/>
        </w:rPr>
      </w:pPr>
    </w:p>
    <w:p w14:paraId="66135DA4">
      <w:pPr>
        <w:snapToGrid w:val="0"/>
        <w:spacing w:line="240" w:lineRule="auto"/>
        <w:jc w:val="center"/>
        <w:rPr>
          <w:rStyle w:val="13"/>
          <w:rFonts w:ascii="黑体" w:hAnsi="黑体" w:eastAsia="黑体" w:cs="黑体"/>
          <w:b/>
          <w:bCs/>
          <w:sz w:val="44"/>
          <w:szCs w:val="44"/>
        </w:rPr>
      </w:pPr>
      <w:r>
        <w:rPr>
          <w:rStyle w:val="13"/>
          <w:rFonts w:hint="eastAsia" w:ascii="黑体" w:hAnsi="黑体" w:eastAsia="黑体" w:cs="黑体"/>
          <w:b/>
          <w:bCs/>
          <w:sz w:val="44"/>
          <w:szCs w:val="44"/>
        </w:rPr>
        <w:t>询</w:t>
      </w:r>
    </w:p>
    <w:p w14:paraId="2BC2B6F3">
      <w:pPr>
        <w:snapToGrid w:val="0"/>
        <w:spacing w:line="240" w:lineRule="auto"/>
        <w:jc w:val="center"/>
        <w:rPr>
          <w:rStyle w:val="13"/>
          <w:rFonts w:ascii="黑体" w:hAnsi="黑体" w:eastAsia="黑体" w:cs="黑体"/>
          <w:b/>
          <w:bCs/>
          <w:sz w:val="44"/>
          <w:szCs w:val="44"/>
        </w:rPr>
      </w:pPr>
    </w:p>
    <w:p w14:paraId="713641EA">
      <w:pPr>
        <w:snapToGrid w:val="0"/>
        <w:spacing w:line="240" w:lineRule="auto"/>
        <w:jc w:val="center"/>
        <w:rPr>
          <w:rStyle w:val="13"/>
          <w:rFonts w:ascii="黑体" w:hAnsi="黑体" w:eastAsia="黑体" w:cs="黑体"/>
          <w:b/>
          <w:bCs/>
          <w:sz w:val="44"/>
          <w:szCs w:val="44"/>
        </w:rPr>
      </w:pPr>
      <w:r>
        <w:rPr>
          <w:rStyle w:val="13"/>
          <w:rFonts w:hint="eastAsia" w:ascii="黑体" w:hAnsi="黑体" w:eastAsia="黑体" w:cs="黑体"/>
          <w:b/>
          <w:bCs/>
          <w:sz w:val="44"/>
          <w:szCs w:val="44"/>
        </w:rPr>
        <w:t>服</w:t>
      </w:r>
    </w:p>
    <w:p w14:paraId="00828A56">
      <w:pPr>
        <w:snapToGrid w:val="0"/>
        <w:spacing w:line="240" w:lineRule="auto"/>
        <w:jc w:val="center"/>
        <w:rPr>
          <w:rStyle w:val="13"/>
          <w:rFonts w:ascii="黑体" w:hAnsi="黑体" w:eastAsia="黑体" w:cs="黑体"/>
          <w:b/>
          <w:bCs/>
          <w:sz w:val="44"/>
          <w:szCs w:val="44"/>
        </w:rPr>
      </w:pPr>
    </w:p>
    <w:p w14:paraId="466DED7C">
      <w:pPr>
        <w:snapToGrid w:val="0"/>
        <w:spacing w:line="240" w:lineRule="auto"/>
        <w:jc w:val="center"/>
        <w:rPr>
          <w:rStyle w:val="13"/>
          <w:rFonts w:ascii="黑体" w:hAnsi="黑体" w:eastAsia="黑体" w:cs="黑体"/>
          <w:b/>
          <w:bCs/>
          <w:sz w:val="44"/>
          <w:szCs w:val="44"/>
        </w:rPr>
      </w:pPr>
      <w:r>
        <w:rPr>
          <w:rStyle w:val="13"/>
          <w:rFonts w:hint="eastAsia" w:ascii="黑体" w:hAnsi="黑体" w:eastAsia="黑体" w:cs="黑体"/>
          <w:b/>
          <w:bCs/>
          <w:sz w:val="44"/>
          <w:szCs w:val="44"/>
        </w:rPr>
        <w:t>务</w:t>
      </w:r>
    </w:p>
    <w:p w14:paraId="5726E7ED">
      <w:pPr>
        <w:snapToGrid w:val="0"/>
        <w:spacing w:line="240" w:lineRule="auto"/>
        <w:jc w:val="center"/>
        <w:rPr>
          <w:rStyle w:val="13"/>
          <w:rFonts w:ascii="黑体" w:hAnsi="黑体" w:eastAsia="黑体" w:cs="黑体"/>
          <w:b/>
          <w:bCs/>
          <w:sz w:val="44"/>
          <w:szCs w:val="44"/>
        </w:rPr>
      </w:pPr>
    </w:p>
    <w:p w14:paraId="0D751046">
      <w:pPr>
        <w:snapToGrid w:val="0"/>
        <w:spacing w:line="240" w:lineRule="auto"/>
        <w:jc w:val="center"/>
        <w:rPr>
          <w:rStyle w:val="13"/>
          <w:rFonts w:ascii="黑体" w:hAnsi="黑体" w:eastAsia="黑体" w:cs="黑体"/>
          <w:b/>
          <w:bCs/>
          <w:sz w:val="44"/>
          <w:szCs w:val="44"/>
        </w:rPr>
      </w:pPr>
      <w:r>
        <w:rPr>
          <w:rStyle w:val="13"/>
          <w:rFonts w:hint="eastAsia" w:ascii="黑体" w:hAnsi="黑体" w:eastAsia="黑体" w:cs="黑体"/>
          <w:b/>
          <w:bCs/>
          <w:sz w:val="44"/>
          <w:szCs w:val="44"/>
        </w:rPr>
        <w:t>协</w:t>
      </w:r>
    </w:p>
    <w:p w14:paraId="3ADC67B0">
      <w:pPr>
        <w:snapToGrid w:val="0"/>
        <w:spacing w:line="240" w:lineRule="auto"/>
        <w:rPr>
          <w:rStyle w:val="13"/>
          <w:rFonts w:ascii="黑体" w:hAnsi="黑体" w:eastAsia="黑体" w:cs="黑体"/>
          <w:b/>
          <w:bCs/>
          <w:sz w:val="44"/>
          <w:szCs w:val="44"/>
        </w:rPr>
      </w:pPr>
    </w:p>
    <w:p w14:paraId="6EC6EE6F">
      <w:pPr>
        <w:snapToGrid w:val="0"/>
        <w:spacing w:line="240" w:lineRule="auto"/>
        <w:jc w:val="center"/>
        <w:rPr>
          <w:rStyle w:val="13"/>
          <w:rFonts w:hint="eastAsia" w:ascii="仿宋_GB2312" w:hAnsi="宋体" w:eastAsia="仿宋_GB2312"/>
          <w:bCs/>
          <w:sz w:val="24"/>
          <w:szCs w:val="24"/>
          <w:lang w:val="en-US" w:eastAsia="zh-CN"/>
        </w:rPr>
      </w:pPr>
      <w:r>
        <w:rPr>
          <w:rStyle w:val="13"/>
          <w:rFonts w:hint="eastAsia" w:ascii="黑体" w:hAnsi="黑体" w:eastAsia="黑体" w:cs="黑体"/>
          <w:b/>
          <w:bCs/>
          <w:sz w:val="44"/>
          <w:szCs w:val="44"/>
        </w:rPr>
        <w:t>议</w:t>
      </w:r>
    </w:p>
    <w:p w14:paraId="3C083594">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eastAsia" w:ascii="仿宋_GB2312" w:hAnsi="宋体" w:eastAsia="仿宋_GB2312"/>
          <w:bCs/>
          <w:sz w:val="24"/>
          <w:szCs w:val="24"/>
          <w:lang w:val="en-US" w:eastAsia="zh-CN"/>
        </w:rPr>
      </w:pPr>
    </w:p>
    <w:p w14:paraId="355EBA73">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eastAsia" w:ascii="仿宋_GB2312" w:hAnsi="宋体" w:eastAsia="仿宋_GB2312"/>
          <w:bCs/>
          <w:sz w:val="24"/>
          <w:szCs w:val="24"/>
          <w:lang w:val="en-US" w:eastAsia="zh-CN"/>
        </w:rPr>
      </w:pPr>
    </w:p>
    <w:p w14:paraId="050BA23A">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eastAsia" w:ascii="仿宋_GB2312" w:hAnsi="宋体" w:eastAsia="仿宋_GB2312"/>
          <w:bCs/>
          <w:sz w:val="24"/>
          <w:szCs w:val="24"/>
          <w:lang w:val="en-US" w:eastAsia="zh-CN"/>
        </w:rPr>
      </w:pPr>
    </w:p>
    <w:p w14:paraId="661358CF">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default" w:ascii="仿宋_GB2312" w:hAnsi="宋体" w:eastAsia="仿宋_GB2312"/>
          <w:bCs/>
          <w:sz w:val="24"/>
          <w:szCs w:val="24"/>
          <w:lang w:val="en-US" w:eastAsia="zh-CN"/>
        </w:rPr>
      </w:pPr>
      <w:r>
        <w:rPr>
          <w:rStyle w:val="13"/>
          <w:rFonts w:hint="eastAsia" w:ascii="仿宋_GB2312" w:hAnsi="宋体" w:eastAsia="仿宋_GB2312"/>
          <w:bCs/>
          <w:sz w:val="24"/>
          <w:szCs w:val="24"/>
          <w:lang w:val="en-US" w:eastAsia="zh-CN"/>
        </w:rPr>
        <w:t>购买人</w:t>
      </w:r>
      <w:r>
        <w:rPr>
          <w:rStyle w:val="13"/>
          <w:rFonts w:ascii="仿宋_GB2312" w:hAnsi="宋体" w:eastAsia="仿宋_GB2312"/>
          <w:bCs/>
          <w:sz w:val="24"/>
          <w:szCs w:val="24"/>
        </w:rPr>
        <w:t>（甲方）：</w:t>
      </w:r>
    </w:p>
    <w:p w14:paraId="688C6B11">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ascii="仿宋_GB2312" w:hAnsi="宋体" w:eastAsia="仿宋_GB2312"/>
          <w:bCs/>
          <w:sz w:val="24"/>
          <w:szCs w:val="24"/>
        </w:rPr>
      </w:pPr>
      <w:r>
        <w:rPr>
          <w:rStyle w:val="13"/>
          <w:rFonts w:ascii="仿宋_GB2312" w:hAnsi="宋体" w:eastAsia="仿宋_GB2312"/>
          <w:bCs/>
          <w:sz w:val="24"/>
          <w:szCs w:val="24"/>
        </w:rPr>
        <w:t>地址：</w:t>
      </w:r>
    </w:p>
    <w:p w14:paraId="2AFF1FCE">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ascii="仿宋_GB2312" w:hAnsi="宋体" w:eastAsia="仿宋_GB2312"/>
          <w:bCs/>
          <w:sz w:val="24"/>
          <w:szCs w:val="24"/>
        </w:rPr>
      </w:pPr>
    </w:p>
    <w:p w14:paraId="643FF900">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eastAsia" w:ascii="仿宋_GB2312" w:hAnsi="仿宋_GB2312" w:eastAsia="仿宋_GB2312"/>
          <w:b w:val="0"/>
          <w:i w:val="0"/>
          <w:caps w:val="0"/>
          <w:spacing w:val="0"/>
          <w:w w:val="100"/>
          <w:kern w:val="2"/>
          <w:sz w:val="24"/>
          <w:szCs w:val="24"/>
          <w:lang w:val="en-US" w:eastAsia="zh-CN" w:bidi="ar-SA"/>
        </w:rPr>
      </w:pPr>
      <w:r>
        <w:rPr>
          <w:rStyle w:val="13"/>
          <w:rFonts w:ascii="仿宋_GB2312" w:hAnsi="宋体" w:eastAsia="仿宋_GB2312"/>
          <w:bCs/>
          <w:sz w:val="24"/>
          <w:szCs w:val="24"/>
        </w:rPr>
        <w:t>受托方（乙方</w:t>
      </w:r>
      <w:r>
        <w:rPr>
          <w:rStyle w:val="13"/>
          <w:rFonts w:hint="eastAsia" w:ascii="仿宋_GB2312" w:hAnsi="仿宋_GB2312" w:eastAsia="仿宋_GB2312"/>
          <w:b w:val="0"/>
          <w:i w:val="0"/>
          <w:caps w:val="0"/>
          <w:spacing w:val="0"/>
          <w:w w:val="100"/>
          <w:kern w:val="2"/>
          <w:sz w:val="24"/>
          <w:szCs w:val="24"/>
          <w:lang w:val="en-US" w:eastAsia="zh-CN" w:bidi="ar-SA"/>
        </w:rPr>
        <w:t>）：枣庄市公共资源国有产权交易有限公司</w:t>
      </w:r>
    </w:p>
    <w:p w14:paraId="5FD2BF29">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hint="eastAsia" w:ascii="仿宋_GB2312" w:hAnsi="仿宋_GB2312" w:eastAsia="仿宋_GB2312"/>
          <w:b w:val="0"/>
          <w:i w:val="0"/>
          <w:caps w:val="0"/>
          <w:spacing w:val="0"/>
          <w:w w:val="100"/>
          <w:kern w:val="2"/>
          <w:sz w:val="24"/>
          <w:szCs w:val="24"/>
          <w:lang w:val="en-US" w:eastAsia="zh-CN" w:bidi="ar-SA"/>
        </w:rPr>
      </w:pPr>
      <w:r>
        <w:rPr>
          <w:rStyle w:val="13"/>
          <w:rFonts w:hint="eastAsia" w:ascii="仿宋_GB2312" w:hAnsi="仿宋_GB2312" w:eastAsia="仿宋_GB2312"/>
          <w:b w:val="0"/>
          <w:i w:val="0"/>
          <w:caps w:val="0"/>
          <w:spacing w:val="0"/>
          <w:w w:val="100"/>
          <w:kern w:val="2"/>
          <w:sz w:val="24"/>
          <w:szCs w:val="24"/>
          <w:lang w:val="en-US" w:eastAsia="zh-CN" w:bidi="ar-SA"/>
        </w:rPr>
        <w:t>地址：山东省枣庄市山亭区府前东路6号市民中心C区</w:t>
      </w:r>
    </w:p>
    <w:p w14:paraId="27BE5E7A">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ascii="仿宋_GB2312" w:hAnsi="宋体" w:eastAsia="仿宋_GB2312"/>
          <w:sz w:val="24"/>
          <w:szCs w:val="24"/>
        </w:rPr>
      </w:pPr>
    </w:p>
    <w:p w14:paraId="5FA0DDF6">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根据《中华人民共和国合同法》、</w:t>
      </w:r>
      <w:r>
        <w:rPr>
          <w:rStyle w:val="13"/>
          <w:rFonts w:hint="eastAsia" w:ascii="仿宋_GB2312" w:hAnsi="宋体" w:eastAsia="仿宋_GB2312"/>
          <w:sz w:val="24"/>
          <w:szCs w:val="24"/>
        </w:rPr>
        <w:t>《行政单位国有资产管理暂行办法》</w:t>
      </w:r>
      <w:r>
        <w:rPr>
          <w:rStyle w:val="13"/>
          <w:rFonts w:hint="eastAsia" w:ascii="仿宋_GB2312" w:hAnsi="宋体" w:eastAsia="仿宋_GB2312"/>
          <w:sz w:val="24"/>
          <w:szCs w:val="24"/>
          <w:lang w:eastAsia="zh-CN"/>
        </w:rPr>
        <w:t>、</w:t>
      </w:r>
      <w:r>
        <w:rPr>
          <w:rStyle w:val="13"/>
          <w:rFonts w:hint="eastAsia" w:ascii="仿宋_GB2312" w:hAnsi="宋体" w:eastAsia="仿宋_GB2312"/>
          <w:sz w:val="24"/>
          <w:szCs w:val="24"/>
        </w:rPr>
        <w:t>《事业单位国有资产管理暂行办法》</w:t>
      </w:r>
      <w:r>
        <w:rPr>
          <w:rStyle w:val="13"/>
          <w:rFonts w:hint="eastAsia" w:ascii="仿宋_GB2312" w:hAnsi="宋体" w:eastAsia="仿宋_GB2312"/>
          <w:sz w:val="24"/>
          <w:szCs w:val="24"/>
          <w:lang w:eastAsia="zh-CN"/>
        </w:rPr>
        <w:t>、</w:t>
      </w:r>
      <w:r>
        <w:rPr>
          <w:rStyle w:val="13"/>
          <w:rFonts w:hint="eastAsia" w:ascii="仿宋_GB2312" w:hAnsi="宋体" w:eastAsia="仿宋_GB2312"/>
          <w:sz w:val="24"/>
          <w:szCs w:val="24"/>
        </w:rPr>
        <w:t>《山东省省级行政事业国有资产处置管理办法》、《山东省国有资产资源有偿使用收入管理办法》、《山东省国有产权交易管理办法》、</w:t>
      </w:r>
      <w:r>
        <w:rPr>
          <w:rStyle w:val="13"/>
          <w:rFonts w:ascii="仿宋_GB2312" w:hAnsi="宋体" w:eastAsia="仿宋_GB2312"/>
          <w:sz w:val="24"/>
          <w:szCs w:val="24"/>
        </w:rPr>
        <w:t>《中华人民共和国</w:t>
      </w:r>
      <w:r>
        <w:rPr>
          <w:rStyle w:val="13"/>
          <w:rFonts w:hint="eastAsia" w:ascii="仿宋_GB2312" w:hAnsi="宋体" w:eastAsia="仿宋_GB2312"/>
          <w:sz w:val="24"/>
          <w:szCs w:val="24"/>
          <w:lang w:val="en-US"/>
        </w:rPr>
        <w:t>民法典</w:t>
      </w:r>
      <w:r>
        <w:rPr>
          <w:rStyle w:val="13"/>
          <w:rFonts w:ascii="仿宋_GB2312" w:hAnsi="宋体" w:eastAsia="仿宋_GB2312"/>
          <w:sz w:val="24"/>
          <w:szCs w:val="24"/>
        </w:rPr>
        <w:t>》等有关规定，甲、乙双方遵循自愿、平等、公正、诚实信用的原则，协商一致，签订</w:t>
      </w:r>
      <w:r>
        <w:rPr>
          <w:rStyle w:val="13"/>
          <w:rFonts w:hint="eastAsia" w:ascii="仿宋_GB2312" w:hAnsi="宋体" w:eastAsia="仿宋_GB2312"/>
          <w:sz w:val="24"/>
          <w:szCs w:val="24"/>
          <w:lang w:eastAsia="zh-CN"/>
        </w:rPr>
        <w:t>咨询服务协议</w:t>
      </w:r>
      <w:r>
        <w:rPr>
          <w:rStyle w:val="13"/>
          <w:rFonts w:ascii="仿宋_GB2312" w:hAnsi="宋体" w:eastAsia="仿宋_GB2312"/>
          <w:sz w:val="24"/>
          <w:szCs w:val="24"/>
        </w:rPr>
        <w:t>如下。</w:t>
      </w:r>
    </w:p>
    <w:p w14:paraId="293E792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ascii="仿宋_GB2312" w:hAnsi="宋体" w:eastAsia="仿宋_GB2312"/>
          <w:sz w:val="24"/>
          <w:szCs w:val="24"/>
        </w:rPr>
        <w:t>一、一般委托事项</w:t>
      </w:r>
    </w:p>
    <w:p w14:paraId="6216FF2D">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lang w:val="en-US" w:eastAsia="zh-CN"/>
        </w:rPr>
      </w:pPr>
      <w:r>
        <w:rPr>
          <w:rStyle w:val="13"/>
          <w:rFonts w:hint="eastAsia" w:ascii="仿宋_GB2312" w:hAnsi="宋体" w:eastAsia="仿宋_GB2312"/>
          <w:sz w:val="24"/>
          <w:szCs w:val="24"/>
          <w:lang w:val="en-US" w:eastAsia="zh-CN"/>
        </w:rPr>
        <w:t>1、</w:t>
      </w:r>
      <w:r>
        <w:rPr>
          <w:rStyle w:val="13"/>
          <w:rFonts w:hint="eastAsia" w:ascii="仿宋_GB2312" w:hAnsi="宋体" w:eastAsia="仿宋_GB2312"/>
          <w:sz w:val="24"/>
          <w:szCs w:val="24"/>
        </w:rPr>
        <w:t>甲方委托参与受</w:t>
      </w:r>
      <w:r>
        <w:rPr>
          <w:rStyle w:val="13"/>
          <w:rFonts w:hint="eastAsia" w:ascii="仿宋_GB2312" w:hAnsi="宋体" w:eastAsia="仿宋_GB2312"/>
          <w:sz w:val="24"/>
          <w:szCs w:val="24"/>
          <w:lang w:val="en-US" w:eastAsia="zh-CN"/>
        </w:rPr>
        <w:t>让</w:t>
      </w:r>
      <w:r>
        <w:rPr>
          <w:rFonts w:ascii="Helvetica" w:hAnsi="Helvetica" w:eastAsia="Helvetica" w:cs="Helvetica"/>
          <w:i w:val="0"/>
          <w:iCs w:val="0"/>
          <w:caps w:val="0"/>
          <w:color w:val="5F5F5F"/>
          <w:spacing w:val="0"/>
          <w:sz w:val="21"/>
          <w:szCs w:val="21"/>
          <w:shd w:val="clear" w:fill="FFFFFF"/>
        </w:rPr>
        <w:t>徐庄镇人民政府所属环卫设备资产报废处置</w:t>
      </w:r>
      <w:r>
        <w:rPr>
          <w:rStyle w:val="13"/>
          <w:rFonts w:hint="eastAsia" w:ascii="仿宋_GB2312" w:hAnsi="宋体" w:eastAsia="仿宋_GB2312"/>
          <w:sz w:val="24"/>
          <w:szCs w:val="24"/>
          <w:lang w:val="en-US"/>
        </w:rPr>
        <w:t>的申请</w:t>
      </w:r>
      <w:r>
        <w:rPr>
          <w:rStyle w:val="13"/>
          <w:rFonts w:hint="eastAsia" w:ascii="仿宋_GB2312" w:hAnsi="宋体" w:eastAsia="仿宋_GB2312"/>
          <w:sz w:val="24"/>
          <w:szCs w:val="24"/>
          <w:lang w:val="en-US" w:eastAsia="zh-CN"/>
        </w:rPr>
        <w:t>。</w:t>
      </w:r>
    </w:p>
    <w:p w14:paraId="6155CD7B">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lang w:val="en-US"/>
        </w:rPr>
      </w:pPr>
      <w:r>
        <w:rPr>
          <w:rStyle w:val="13"/>
          <w:rFonts w:hint="eastAsia" w:ascii="仿宋_GB2312" w:hAnsi="宋体" w:eastAsia="仿宋_GB2312"/>
          <w:sz w:val="24"/>
          <w:szCs w:val="24"/>
          <w:lang w:val="en-US" w:eastAsia="zh-CN"/>
        </w:rPr>
        <w:t>2、</w:t>
      </w:r>
      <w:r>
        <w:rPr>
          <w:rStyle w:val="13"/>
          <w:rFonts w:hint="eastAsia" w:ascii="仿宋_GB2312" w:hAnsi="宋体" w:eastAsia="仿宋_GB2312"/>
          <w:sz w:val="24"/>
          <w:szCs w:val="24"/>
          <w:lang w:val="en-US"/>
        </w:rPr>
        <w:t>具体服务内容：</w:t>
      </w:r>
    </w:p>
    <w:p w14:paraId="0D3AF7A5">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lang w:eastAsia="zh-CN"/>
        </w:rPr>
        <w:t>（</w:t>
      </w:r>
      <w:r>
        <w:rPr>
          <w:rStyle w:val="13"/>
          <w:rFonts w:hint="eastAsia" w:ascii="仿宋_GB2312" w:hAnsi="宋体" w:eastAsia="仿宋_GB2312"/>
          <w:sz w:val="24"/>
          <w:szCs w:val="24"/>
          <w:lang w:val="en-US" w:eastAsia="zh-CN"/>
        </w:rPr>
        <w:t>1</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向甲方提供有关法律、法规、政策及产权交易的专业咨询服务</w:t>
      </w:r>
      <w:r>
        <w:rPr>
          <w:rStyle w:val="13"/>
          <w:rFonts w:hint="eastAsia" w:ascii="仿宋_GB2312" w:hAnsi="宋体" w:eastAsia="仿宋_GB2312"/>
          <w:sz w:val="24"/>
          <w:szCs w:val="24"/>
        </w:rPr>
        <w:t>；</w:t>
      </w:r>
    </w:p>
    <w:p w14:paraId="5051E29F">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lang w:eastAsia="zh-CN"/>
        </w:rPr>
        <w:t>（</w:t>
      </w:r>
      <w:r>
        <w:rPr>
          <w:rStyle w:val="13"/>
          <w:rFonts w:hint="eastAsia" w:ascii="仿宋_GB2312" w:hAnsi="宋体" w:eastAsia="仿宋_GB2312"/>
          <w:sz w:val="24"/>
          <w:szCs w:val="24"/>
          <w:lang w:val="en-US" w:eastAsia="zh-CN"/>
        </w:rPr>
        <w:t>2</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代为填写《</w:t>
      </w:r>
      <w:r>
        <w:rPr>
          <w:rStyle w:val="13"/>
          <w:rFonts w:hint="eastAsia" w:ascii="仿宋_GB2312" w:hAnsi="宋体" w:eastAsia="仿宋_GB2312"/>
          <w:sz w:val="24"/>
          <w:szCs w:val="24"/>
        </w:rPr>
        <w:t>网络竞价承诺函</w:t>
      </w:r>
      <w:r>
        <w:rPr>
          <w:rStyle w:val="13"/>
          <w:rFonts w:ascii="仿宋_GB2312" w:hAnsi="宋体" w:eastAsia="仿宋_GB2312"/>
          <w:sz w:val="24"/>
          <w:szCs w:val="24"/>
        </w:rPr>
        <w:t>》</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w:t>
      </w:r>
      <w:r>
        <w:rPr>
          <w:rStyle w:val="13"/>
          <w:rFonts w:hint="eastAsia" w:ascii="仿宋_GB2312" w:hAnsi="宋体" w:eastAsia="仿宋_GB2312"/>
          <w:sz w:val="24"/>
          <w:szCs w:val="24"/>
        </w:rPr>
        <w:t>资产受让网络竞价须知》</w:t>
      </w:r>
      <w:r>
        <w:rPr>
          <w:rStyle w:val="13"/>
          <w:rFonts w:hint="eastAsia" w:ascii="仿宋_GB2312" w:hAnsi="宋体" w:eastAsia="仿宋_GB2312"/>
          <w:sz w:val="24"/>
          <w:szCs w:val="24"/>
          <w:lang w:val="en-US" w:eastAsia="zh-CN"/>
        </w:rPr>
        <w:t>等报名交易材料</w:t>
      </w:r>
      <w:r>
        <w:rPr>
          <w:rStyle w:val="13"/>
          <w:rFonts w:hint="eastAsia" w:ascii="仿宋_GB2312" w:hAnsi="宋体" w:eastAsia="仿宋_GB2312"/>
          <w:sz w:val="24"/>
          <w:szCs w:val="24"/>
        </w:rPr>
        <w:t>；</w:t>
      </w:r>
    </w:p>
    <w:p w14:paraId="2A28BE46">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（4）对委托项目进行现场看样、告知竞价网址、竞价账号、竞价时间、操作流程相关事宜等其他交易综合配套服务</w:t>
      </w:r>
      <w:r>
        <w:rPr>
          <w:rStyle w:val="13"/>
          <w:rFonts w:ascii="仿宋_GB2312" w:hAnsi="宋体" w:eastAsia="仿宋_GB2312"/>
          <w:sz w:val="24"/>
          <w:szCs w:val="24"/>
        </w:rPr>
        <w:t>；</w:t>
      </w:r>
    </w:p>
    <w:p w14:paraId="2C35DCAE">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（5）其他</w:t>
      </w:r>
      <w:r>
        <w:rPr>
          <w:rStyle w:val="13"/>
          <w:rFonts w:ascii="仿宋_GB2312" w:hAnsi="宋体" w:eastAsia="仿宋_GB2312"/>
          <w:sz w:val="24"/>
          <w:szCs w:val="24"/>
        </w:rPr>
        <w:t>《山东省企业国有产权交易规则》应提供的服务。</w:t>
      </w:r>
    </w:p>
    <w:p w14:paraId="6B037320">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bCs/>
          <w:sz w:val="24"/>
          <w:szCs w:val="24"/>
        </w:rPr>
      </w:pPr>
      <w:r>
        <w:rPr>
          <w:rStyle w:val="13"/>
          <w:rFonts w:ascii="仿宋_GB2312" w:hAnsi="宋体" w:eastAsia="仿宋_GB2312"/>
          <w:bCs/>
          <w:sz w:val="24"/>
          <w:szCs w:val="24"/>
        </w:rPr>
        <w:t>二、委托期限</w:t>
      </w:r>
    </w:p>
    <w:p w14:paraId="545DC2FC">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bCs/>
          <w:sz w:val="24"/>
          <w:szCs w:val="24"/>
        </w:rPr>
      </w:pPr>
      <w:r>
        <w:rPr>
          <w:rStyle w:val="13"/>
          <w:rFonts w:ascii="仿宋_GB2312" w:hAnsi="宋体" w:eastAsia="仿宋_GB2312"/>
          <w:bCs/>
          <w:sz w:val="24"/>
          <w:szCs w:val="24"/>
        </w:rPr>
        <w:t>委托期限自</w:t>
      </w:r>
      <w:r>
        <w:rPr>
          <w:rStyle w:val="13"/>
          <w:rFonts w:hint="eastAsia" w:ascii="仿宋_GB2312" w:hAnsi="宋体" w:eastAsia="仿宋_GB2312"/>
          <w:bCs/>
          <w:sz w:val="24"/>
          <w:szCs w:val="24"/>
          <w:lang w:val="en-US" w:eastAsia="zh-CN"/>
        </w:rPr>
        <w:t>2026年9月9日</w:t>
      </w:r>
      <w:r>
        <w:rPr>
          <w:rStyle w:val="13"/>
          <w:rFonts w:ascii="仿宋_GB2312" w:hAnsi="宋体" w:eastAsia="仿宋_GB2312"/>
          <w:bCs/>
          <w:sz w:val="24"/>
          <w:szCs w:val="24"/>
        </w:rPr>
        <w:t>起，至交易完成日止。</w:t>
      </w:r>
    </w:p>
    <w:p w14:paraId="727255EC">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bCs/>
          <w:sz w:val="24"/>
          <w:szCs w:val="24"/>
        </w:rPr>
      </w:pPr>
      <w:r>
        <w:rPr>
          <w:rStyle w:val="13"/>
          <w:rFonts w:ascii="仿宋_GB2312" w:hAnsi="宋体" w:eastAsia="仿宋_GB2312"/>
          <w:bCs/>
          <w:sz w:val="24"/>
          <w:szCs w:val="24"/>
        </w:rPr>
        <w:t>三、权利和义务</w:t>
      </w:r>
    </w:p>
    <w:p w14:paraId="169B3242">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1</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枣庄</w:t>
      </w:r>
      <w:r>
        <w:rPr>
          <w:rStyle w:val="13"/>
          <w:rFonts w:hint="eastAsia" w:ascii="仿宋_GB2312" w:hAnsi="宋体" w:eastAsia="仿宋_GB2312"/>
          <w:sz w:val="24"/>
          <w:szCs w:val="24"/>
          <w:lang w:val="en-US" w:eastAsia="zh-CN"/>
        </w:rPr>
        <w:t>市公共资源国有产权交易有限公司</w:t>
      </w:r>
      <w:r>
        <w:rPr>
          <w:rStyle w:val="13"/>
          <w:rFonts w:ascii="仿宋_GB2312" w:hAnsi="宋体" w:eastAsia="仿宋_GB2312"/>
          <w:sz w:val="24"/>
          <w:szCs w:val="24"/>
        </w:rPr>
        <w:t>的监管。</w:t>
      </w:r>
    </w:p>
    <w:p w14:paraId="3CB366A4">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2</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甲方应根据《山东省企业国有产权交易规则》及相关文件的要求，向乙方及时、完整地提供为完成委托事项所要求的相关文件材料。</w:t>
      </w:r>
    </w:p>
    <w:p w14:paraId="4B253EDE">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3</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甲方应如实提供有关文件材料和陈述有关事实，乙方有权对有关文件材料的真实性、合法性进行审查。甲方应承担提供虚假文件或隐瞒事实的法律后果。</w:t>
      </w:r>
    </w:p>
    <w:p w14:paraId="04570FB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4</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甲、乙双方均具有对对方所提供的相关材料承担保密的义务。未经对方同意，不得提供给第三方。</w:t>
      </w:r>
    </w:p>
    <w:p w14:paraId="4A95FE05">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四、双方的承诺</w:t>
      </w:r>
    </w:p>
    <w:p w14:paraId="4D1FDBE0">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1、</w:t>
      </w:r>
      <w:r>
        <w:rPr>
          <w:rStyle w:val="13"/>
          <w:rFonts w:ascii="仿宋_GB2312" w:hAnsi="宋体" w:eastAsia="仿宋_GB2312"/>
          <w:sz w:val="24"/>
          <w:szCs w:val="24"/>
        </w:rPr>
        <w:t>甲、乙双方承诺其所提供的所有材料（包括原件、复印件）、陈述的事实真实、完整、有效。</w:t>
      </w:r>
    </w:p>
    <w:p w14:paraId="182D36BD">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ascii="仿宋_GB2312" w:hAnsi="宋体" w:eastAsia="仿宋_GB2312"/>
          <w:sz w:val="24"/>
          <w:szCs w:val="24"/>
        </w:rPr>
        <w:t>2</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甲方</w:t>
      </w:r>
      <w:r>
        <w:rPr>
          <w:rStyle w:val="13"/>
          <w:rFonts w:hint="eastAsia" w:ascii="仿宋_GB2312" w:hAnsi="宋体" w:eastAsia="仿宋_GB2312"/>
          <w:sz w:val="24"/>
          <w:szCs w:val="24"/>
        </w:rPr>
        <w:t>承诺：</w:t>
      </w:r>
    </w:p>
    <w:p w14:paraId="5DD12BB1">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762D316C">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3</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乙方保证其具备从事甲方委托事项的所有资格及能力，其受托办理上述事项均已获得有权机构的批准或授权。</w:t>
      </w:r>
    </w:p>
    <w:p w14:paraId="75558C53">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lang w:val="en-US" w:eastAsia="zh-CN"/>
        </w:rPr>
      </w:pPr>
      <w:r>
        <w:rPr>
          <w:rStyle w:val="13"/>
          <w:rFonts w:ascii="仿宋_GB2312" w:hAnsi="宋体" w:eastAsia="仿宋_GB2312"/>
          <w:sz w:val="24"/>
          <w:szCs w:val="24"/>
        </w:rPr>
        <w:t>五、</w:t>
      </w:r>
      <w:r>
        <w:rPr>
          <w:rStyle w:val="13"/>
          <w:rFonts w:hint="eastAsia" w:ascii="仿宋_GB2312" w:hAnsi="宋体" w:eastAsia="仿宋_GB2312"/>
          <w:sz w:val="24"/>
          <w:szCs w:val="24"/>
          <w:lang w:val="en-US" w:eastAsia="zh-CN"/>
        </w:rPr>
        <w:t>服务费用收取</w:t>
      </w:r>
    </w:p>
    <w:p w14:paraId="48F825F0">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乙方</w:t>
      </w:r>
      <w:r>
        <w:rPr>
          <w:rStyle w:val="13"/>
          <w:rFonts w:hint="eastAsia" w:ascii="仿宋_GB2312" w:hAnsi="宋体" w:eastAsia="仿宋_GB2312"/>
          <w:sz w:val="24"/>
          <w:szCs w:val="24"/>
        </w:rPr>
        <w:t>被确定为受让方后</w:t>
      </w:r>
      <w:r>
        <w:rPr>
          <w:rStyle w:val="13"/>
          <w:rFonts w:ascii="仿宋_GB2312" w:hAnsi="宋体" w:eastAsia="仿宋_GB2312"/>
          <w:sz w:val="24"/>
          <w:szCs w:val="24"/>
        </w:rPr>
        <w:t>，应向甲方收取</w:t>
      </w:r>
      <w:r>
        <w:rPr>
          <w:rStyle w:val="13"/>
          <w:rFonts w:hint="eastAsia" w:ascii="仿宋_GB2312" w:hAnsi="宋体" w:eastAsia="仿宋_GB2312"/>
          <w:sz w:val="24"/>
          <w:szCs w:val="24"/>
          <w:lang w:eastAsia="zh-CN"/>
        </w:rPr>
        <w:t>服务费，</w:t>
      </w:r>
      <w:r>
        <w:rPr>
          <w:rStyle w:val="13"/>
          <w:rFonts w:ascii="仿宋_GB2312" w:hAnsi="宋体" w:eastAsia="仿宋_GB2312"/>
          <w:sz w:val="24"/>
          <w:szCs w:val="24"/>
        </w:rPr>
        <w:t>按照成交价格</w:t>
      </w:r>
      <w:r>
        <w:rPr>
          <w:rStyle w:val="13"/>
          <w:rFonts w:hint="eastAsia" w:ascii="仿宋_GB2312" w:hAnsi="宋体" w:eastAsia="仿宋_GB2312"/>
          <w:sz w:val="24"/>
          <w:szCs w:val="24"/>
          <w:lang w:eastAsia="zh-CN"/>
        </w:rPr>
        <w:t>收取</w:t>
      </w:r>
      <w:r>
        <w:rPr>
          <w:rStyle w:val="13"/>
          <w:rFonts w:hint="eastAsia" w:ascii="仿宋_GB2312" w:hAnsi="宋体" w:eastAsia="仿宋_GB2312"/>
          <w:sz w:val="24"/>
          <w:szCs w:val="24"/>
          <w:lang w:val="en-US" w:eastAsia="zh-CN"/>
        </w:rPr>
        <w:t>1.4%</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甲方在</w:t>
      </w:r>
      <w:r>
        <w:rPr>
          <w:rStyle w:val="13"/>
          <w:rFonts w:hint="eastAsia" w:ascii="仿宋_GB2312" w:hAnsi="宋体" w:eastAsia="仿宋_GB2312"/>
          <w:sz w:val="24"/>
          <w:szCs w:val="24"/>
          <w:lang w:eastAsia="zh-CN"/>
        </w:rPr>
        <w:t>资产（</w:t>
      </w:r>
      <w:r>
        <w:rPr>
          <w:rStyle w:val="13"/>
          <w:rFonts w:ascii="仿宋_GB2312" w:hAnsi="宋体" w:eastAsia="仿宋_GB2312"/>
          <w:sz w:val="24"/>
          <w:szCs w:val="24"/>
        </w:rPr>
        <w:t>产权</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 xml:space="preserve">交易合同签订后 </w:t>
      </w:r>
      <w:r>
        <w:rPr>
          <w:rStyle w:val="13"/>
          <w:rFonts w:hint="eastAsia" w:ascii="仿宋_GB2312" w:hAnsi="宋体" w:eastAsia="仿宋_GB2312"/>
          <w:sz w:val="24"/>
          <w:szCs w:val="24"/>
          <w:lang w:val="en-US" w:eastAsia="zh-CN"/>
        </w:rPr>
        <w:t xml:space="preserve">3 </w:t>
      </w:r>
      <w:r>
        <w:rPr>
          <w:rStyle w:val="13"/>
          <w:rFonts w:ascii="仿宋_GB2312" w:hAnsi="宋体" w:eastAsia="仿宋_GB2312"/>
          <w:sz w:val="24"/>
          <w:szCs w:val="24"/>
        </w:rPr>
        <w:t>日内付清。</w:t>
      </w:r>
    </w:p>
    <w:p w14:paraId="0B2ABBB9">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lang w:val="en-US"/>
        </w:rPr>
        <w:t>六、</w:t>
      </w:r>
      <w:r>
        <w:rPr>
          <w:rStyle w:val="13"/>
          <w:rFonts w:hint="eastAsia" w:ascii="仿宋_GB2312" w:hAnsi="宋体" w:eastAsia="仿宋_GB2312"/>
          <w:sz w:val="24"/>
          <w:szCs w:val="24"/>
        </w:rPr>
        <w:t>因意向受让方如下行为产生的一切后果，</w:t>
      </w:r>
      <w:r>
        <w:rPr>
          <w:rStyle w:val="13"/>
          <w:rFonts w:hint="eastAsia" w:ascii="仿宋_GB2312" w:hAnsi="宋体" w:eastAsia="仿宋_GB2312"/>
          <w:sz w:val="24"/>
          <w:szCs w:val="24"/>
          <w:lang w:val="en-US" w:eastAsia="zh-CN"/>
        </w:rPr>
        <w:t>枣庄市公共资源国有产权交易有限公司</w:t>
      </w:r>
      <w:r>
        <w:rPr>
          <w:rStyle w:val="13"/>
          <w:rFonts w:hint="eastAsia" w:ascii="仿宋_GB2312" w:hAnsi="宋体" w:eastAsia="仿宋_GB2312"/>
          <w:sz w:val="24"/>
          <w:szCs w:val="24"/>
        </w:rPr>
        <w:t>不承担任何责任：</w:t>
      </w:r>
    </w:p>
    <w:p w14:paraId="1FCAA995">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rPr>
        <w:t>1、未及时关注</w:t>
      </w:r>
      <w:r>
        <w:rPr>
          <w:rStyle w:val="13"/>
          <w:rFonts w:hint="eastAsia" w:ascii="仿宋_GB2312" w:hAnsi="宋体" w:eastAsia="仿宋_GB2312"/>
          <w:sz w:val="24"/>
          <w:szCs w:val="24"/>
          <w:lang w:val="en-US" w:eastAsia="zh-CN"/>
        </w:rPr>
        <w:t>枣庄市公共资源国有产权交易有限公司</w:t>
      </w:r>
      <w:r>
        <w:rPr>
          <w:rStyle w:val="13"/>
          <w:rFonts w:hint="eastAsia" w:ascii="仿宋_GB2312" w:hAnsi="宋体" w:eastAsia="仿宋_GB2312"/>
          <w:sz w:val="24"/>
          <w:szCs w:val="24"/>
        </w:rPr>
        <w:t>及网络竞价系统发布的动态报价活动相关信息的；</w:t>
      </w:r>
    </w:p>
    <w:p w14:paraId="35E7210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rPr>
        <w:t>2、由于意向受让方使用的终端设备和网络异常等原因导致无法正常报价的；</w:t>
      </w:r>
    </w:p>
    <w:p w14:paraId="3E971B7B">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rPr>
        <w:t>3、网络竞价活动的时间以网络竞价系统服务器时间为准。由于意向受让方使用的终端设备时间与动态报价系统服务器时间不符而导致未按时参与报价的。</w:t>
      </w:r>
    </w:p>
    <w:p w14:paraId="15152718">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rPr>
        <w:t>十七、网络竞价系统因不可抗力、软硬件故障、非法入侵、恶意攻击等原因而导致系统异常、竞价活动中断的，</w:t>
      </w:r>
      <w:r>
        <w:rPr>
          <w:rStyle w:val="13"/>
          <w:rFonts w:hint="eastAsia" w:ascii="仿宋_GB2312" w:hAnsi="宋体" w:eastAsia="仿宋_GB2312"/>
          <w:sz w:val="24"/>
          <w:szCs w:val="24"/>
          <w:lang w:val="en-US" w:eastAsia="zh-CN"/>
        </w:rPr>
        <w:t>枣庄市公共资源国有产权交易有限公司</w:t>
      </w:r>
      <w:r>
        <w:rPr>
          <w:rStyle w:val="13"/>
          <w:rFonts w:hint="eastAsia" w:ascii="仿宋_GB2312" w:hAnsi="宋体" w:eastAsia="仿宋_GB2312"/>
          <w:sz w:val="24"/>
          <w:szCs w:val="24"/>
        </w:rPr>
        <w:t>不承担任何责任。中心将视情况组织继续报价或重新报价，并通过</w:t>
      </w:r>
      <w:r>
        <w:rPr>
          <w:rStyle w:val="13"/>
          <w:rFonts w:hint="eastAsia" w:ascii="仿宋_GB2312" w:hAnsi="宋体" w:eastAsia="仿宋_GB2312"/>
          <w:sz w:val="24"/>
          <w:szCs w:val="24"/>
          <w:lang w:val="en-US" w:eastAsia="zh-CN"/>
        </w:rPr>
        <w:t>枣庄市公共资源国有产权交易有限公司</w:t>
      </w:r>
      <w:r>
        <w:rPr>
          <w:rStyle w:val="13"/>
          <w:rFonts w:hint="eastAsia" w:ascii="仿宋_GB2312" w:hAnsi="宋体" w:eastAsia="仿宋_GB2312"/>
          <w:sz w:val="24"/>
          <w:szCs w:val="24"/>
        </w:rPr>
        <w:t>网站通知各意向受让方。继续报价或重新报价的方式如下：</w:t>
      </w:r>
    </w:p>
    <w:p w14:paraId="26F97B7C">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hint="eastAsia" w:ascii="仿宋_GB2312" w:hAnsi="宋体" w:eastAsia="仿宋_GB2312"/>
          <w:sz w:val="24"/>
          <w:szCs w:val="24"/>
        </w:rPr>
      </w:pPr>
      <w:r>
        <w:rPr>
          <w:rStyle w:val="13"/>
          <w:rFonts w:hint="eastAsia" w:ascii="仿宋_GB2312" w:hAnsi="宋体" w:eastAsia="仿宋_GB2312"/>
          <w:sz w:val="24"/>
          <w:szCs w:val="24"/>
        </w:rPr>
        <w:t>报价记录可以恢复的，以中断时的最高有效报价为起始价继续报价；报价记录无法恢复的，以转让底价为起始价重新报价。</w:t>
      </w:r>
    </w:p>
    <w:p w14:paraId="41B3FC6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rPr>
        <w:t>七</w:t>
      </w:r>
      <w:r>
        <w:rPr>
          <w:rStyle w:val="13"/>
          <w:rFonts w:ascii="仿宋_GB2312" w:hAnsi="宋体" w:eastAsia="仿宋_GB2312"/>
          <w:sz w:val="24"/>
          <w:szCs w:val="24"/>
        </w:rPr>
        <w:t>、违约责任</w:t>
      </w:r>
      <w:r>
        <w:rPr>
          <w:rStyle w:val="13"/>
          <w:rFonts w:hint="eastAsia" w:ascii="仿宋_GB2312" w:hAnsi="宋体" w:eastAsia="仿宋_GB2312"/>
          <w:sz w:val="24"/>
          <w:szCs w:val="24"/>
          <w:lang w:val="en-US" w:eastAsia="zh-CN"/>
        </w:rPr>
        <w:t>及</w:t>
      </w:r>
      <w:r>
        <w:rPr>
          <w:rStyle w:val="13"/>
          <w:rFonts w:ascii="仿宋_GB2312" w:hAnsi="宋体" w:eastAsia="仿宋_GB2312"/>
          <w:sz w:val="24"/>
          <w:szCs w:val="24"/>
        </w:rPr>
        <w:t>其他内容</w:t>
      </w:r>
    </w:p>
    <w:p w14:paraId="3DBD68D4">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1</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甲乙双方应严格遵守《山东省企业国有产权交易规则》，遵守本合同约定。若违反交易规则和本合同，违约方应承担法律责任。</w:t>
      </w:r>
    </w:p>
    <w:p w14:paraId="232787BA">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2</w:t>
      </w:r>
      <w:r>
        <w:rPr>
          <w:rStyle w:val="13"/>
          <w:rFonts w:hint="eastAsia" w:ascii="仿宋_GB2312" w:hAnsi="宋体" w:eastAsia="仿宋_GB2312"/>
          <w:sz w:val="24"/>
          <w:szCs w:val="24"/>
          <w:lang w:eastAsia="zh-CN"/>
        </w:rPr>
        <w:t>、</w:t>
      </w:r>
      <w:r>
        <w:rPr>
          <w:rStyle w:val="13"/>
          <w:rFonts w:ascii="仿宋_GB2312" w:hAnsi="宋体" w:eastAsia="仿宋_GB2312"/>
          <w:sz w:val="24"/>
          <w:szCs w:val="24"/>
        </w:rPr>
        <w:t>甲乙任何一方违反本合同的约定，给对方造成损失的，应由违约方承担赔偿责任。</w:t>
      </w:r>
    </w:p>
    <w:p w14:paraId="1EB425B6">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3、</w:t>
      </w:r>
      <w:r>
        <w:rPr>
          <w:rStyle w:val="13"/>
          <w:rFonts w:ascii="仿宋_GB2312" w:hAnsi="宋体" w:eastAsia="仿宋_GB2312"/>
          <w:sz w:val="24"/>
          <w:szCs w:val="24"/>
        </w:rPr>
        <w:t>本合同项下的任何修改、补充或解除，均应采取书面形式。</w:t>
      </w:r>
    </w:p>
    <w:p w14:paraId="288A23D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4、</w:t>
      </w:r>
      <w:r>
        <w:rPr>
          <w:rStyle w:val="13"/>
          <w:rFonts w:ascii="仿宋_GB2312" w:hAnsi="宋体" w:eastAsia="仿宋_GB2312"/>
          <w:sz w:val="24"/>
          <w:szCs w:val="24"/>
        </w:rPr>
        <w:t>本合同壹式</w:t>
      </w:r>
      <w:r>
        <w:rPr>
          <w:rStyle w:val="13"/>
          <w:rFonts w:hint="eastAsia" w:ascii="仿宋_GB2312" w:hAnsi="宋体" w:eastAsia="仿宋_GB2312"/>
          <w:sz w:val="24"/>
          <w:szCs w:val="24"/>
        </w:rPr>
        <w:t>贰</w:t>
      </w:r>
      <w:r>
        <w:rPr>
          <w:rStyle w:val="13"/>
          <w:rFonts w:ascii="仿宋_GB2312" w:hAnsi="宋体" w:eastAsia="仿宋_GB2312"/>
          <w:sz w:val="24"/>
          <w:szCs w:val="24"/>
        </w:rPr>
        <w:t>份，甲乙双方各执</w:t>
      </w:r>
      <w:r>
        <w:rPr>
          <w:rStyle w:val="13"/>
          <w:rFonts w:hint="eastAsia" w:ascii="仿宋_GB2312" w:hAnsi="宋体" w:eastAsia="仿宋_GB2312"/>
          <w:sz w:val="24"/>
          <w:szCs w:val="24"/>
          <w:lang w:val="en-US" w:eastAsia="zh-CN"/>
        </w:rPr>
        <w:t>壹</w:t>
      </w:r>
      <w:r>
        <w:rPr>
          <w:rStyle w:val="13"/>
          <w:rFonts w:ascii="仿宋_GB2312" w:hAnsi="宋体" w:eastAsia="仿宋_GB2312"/>
          <w:sz w:val="24"/>
          <w:szCs w:val="24"/>
        </w:rPr>
        <w:t>份。</w:t>
      </w:r>
    </w:p>
    <w:p w14:paraId="60260AC7">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p>
    <w:p w14:paraId="6655E6B3">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p>
    <w:p w14:paraId="4FEA0812">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hint="eastAsia" w:ascii="仿宋_GB2312" w:hAnsi="宋体" w:eastAsia="仿宋_GB2312"/>
          <w:sz w:val="24"/>
          <w:szCs w:val="24"/>
          <w:lang w:val="en-US" w:eastAsia="zh-CN"/>
        </w:rPr>
        <w:t>购买方</w:t>
      </w:r>
      <w:r>
        <w:rPr>
          <w:rStyle w:val="13"/>
          <w:rFonts w:ascii="仿宋_GB2312" w:hAnsi="宋体" w:eastAsia="仿宋_GB2312"/>
          <w:sz w:val="24"/>
          <w:szCs w:val="24"/>
        </w:rPr>
        <w:t>（盖章）：                  受托方（盖章）：</w:t>
      </w:r>
    </w:p>
    <w:p w14:paraId="42212248">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ascii="仿宋_GB2312" w:hAnsi="宋体" w:eastAsia="仿宋_GB2312"/>
          <w:sz w:val="24"/>
          <w:szCs w:val="24"/>
        </w:rPr>
      </w:pPr>
    </w:p>
    <w:p w14:paraId="244962CE">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授权委托人签字：                 授权委托人签字：</w:t>
      </w:r>
    </w:p>
    <w:p w14:paraId="4789EA27">
      <w:pPr>
        <w:keepNext w:val="0"/>
        <w:keepLines w:val="0"/>
        <w:pageBreakBefore w:val="0"/>
        <w:widowControl/>
        <w:kinsoku/>
        <w:wordWrap/>
        <w:overflowPunct/>
        <w:topLinePunct w:val="0"/>
        <w:autoSpaceDE/>
        <w:autoSpaceDN/>
        <w:bidi w:val="0"/>
        <w:adjustRightInd/>
        <w:snapToGrid w:val="0"/>
        <w:spacing w:line="240" w:lineRule="auto"/>
        <w:textAlignment w:val="baseline"/>
        <w:rPr>
          <w:rStyle w:val="13"/>
          <w:rFonts w:ascii="仿宋_GB2312" w:hAnsi="宋体" w:eastAsia="仿宋_GB2312"/>
          <w:sz w:val="24"/>
          <w:szCs w:val="24"/>
        </w:rPr>
      </w:pPr>
    </w:p>
    <w:p w14:paraId="68B9A7C9">
      <w:pPr>
        <w:pStyle w:val="2"/>
        <w:rPr>
          <w:rStyle w:val="13"/>
          <w:rFonts w:ascii="仿宋_GB2312" w:hAnsi="宋体" w:eastAsia="仿宋_GB2312"/>
          <w:sz w:val="24"/>
          <w:szCs w:val="24"/>
        </w:rPr>
      </w:pPr>
    </w:p>
    <w:p w14:paraId="46B12794">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baseline"/>
        <w:rPr>
          <w:rStyle w:val="13"/>
          <w:rFonts w:ascii="仿宋_GB2312" w:hAnsi="宋体" w:eastAsia="仿宋_GB2312"/>
          <w:sz w:val="24"/>
          <w:szCs w:val="24"/>
        </w:rPr>
      </w:pPr>
      <w:r>
        <w:rPr>
          <w:rStyle w:val="13"/>
          <w:rFonts w:ascii="仿宋_GB2312" w:hAnsi="宋体" w:eastAsia="仿宋_GB2312"/>
          <w:sz w:val="24"/>
          <w:szCs w:val="24"/>
        </w:rPr>
        <w:t xml:space="preserve">年    月    日               </w:t>
      </w:r>
      <w:r>
        <w:rPr>
          <w:rStyle w:val="13"/>
          <w:rFonts w:hint="eastAsia" w:ascii="仿宋_GB2312" w:hAnsi="宋体" w:eastAsia="仿宋_GB2312"/>
          <w:sz w:val="24"/>
          <w:szCs w:val="24"/>
          <w:lang w:val="en-US" w:eastAsia="zh-CN"/>
        </w:rPr>
        <w:t xml:space="preserve">     </w:t>
      </w:r>
      <w:r>
        <w:rPr>
          <w:rStyle w:val="13"/>
          <w:rFonts w:ascii="仿宋_GB2312" w:hAnsi="宋体" w:eastAsia="仿宋_GB2312"/>
          <w:sz w:val="24"/>
          <w:szCs w:val="24"/>
        </w:rPr>
        <w:t>年    月   日</w:t>
      </w:r>
    </w:p>
    <w:p w14:paraId="46A445DD">
      <w:pPr>
        <w:pStyle w:val="2"/>
        <w:rPr>
          <w:rStyle w:val="13"/>
          <w:rFonts w:ascii="仿宋_GB2312" w:hAnsi="宋体" w:eastAsia="仿宋_GB2312"/>
          <w:sz w:val="24"/>
          <w:szCs w:val="24"/>
        </w:rPr>
      </w:pPr>
    </w:p>
    <w:p w14:paraId="5872A6FF">
      <w:pPr>
        <w:pStyle w:val="2"/>
        <w:rPr>
          <w:rStyle w:val="13"/>
          <w:rFonts w:ascii="仿宋_GB2312" w:hAnsi="宋体" w:eastAsia="仿宋_GB2312"/>
          <w:sz w:val="24"/>
          <w:szCs w:val="24"/>
        </w:rPr>
      </w:pPr>
    </w:p>
    <w:p w14:paraId="547B5734">
      <w:pPr>
        <w:pStyle w:val="2"/>
        <w:rPr>
          <w:rStyle w:val="13"/>
          <w:rFonts w:ascii="仿宋_GB2312" w:hAnsi="宋体" w:eastAsia="仿宋_GB2312"/>
          <w:sz w:val="24"/>
          <w:szCs w:val="24"/>
        </w:rPr>
      </w:pPr>
    </w:p>
    <w:p w14:paraId="1144032C">
      <w:pPr>
        <w:pStyle w:val="2"/>
        <w:spacing w:line="240" w:lineRule="auto"/>
        <w:rPr>
          <w:rFonts w:hint="eastAsia"/>
          <w:sz w:val="15"/>
          <w:szCs w:val="15"/>
          <w:lang w:val="en-US" w:eastAsia="zh-CN"/>
        </w:rPr>
      </w:pPr>
    </w:p>
    <w:p w14:paraId="19D584A5">
      <w:pPr>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450" w:afterAutospacing="0" w:line="240" w:lineRule="auto"/>
        <w:ind w:right="300" w:firstLine="3360" w:firstLineChars="1200"/>
        <w:jc w:val="left"/>
        <w:rPr>
          <w:rStyle w:val="13"/>
          <w:rFonts w:hint="eastAsia" w:ascii="仿宋_GB2312" w:hAnsi="宋体" w:eastAsia="仿宋_GB2312"/>
          <w:sz w:val="24"/>
          <w:szCs w:val="24"/>
        </w:rPr>
      </w:pPr>
      <w:bookmarkStart w:id="0" w:name="_GoBack"/>
      <w:bookmarkEnd w:id="0"/>
      <w:r>
        <w:rPr>
          <w:rFonts w:hint="eastAsia"/>
          <w:sz w:val="28"/>
          <w:szCs w:val="28"/>
          <w:lang w:val="en-US" w:eastAsia="zh-CN"/>
        </w:rPr>
        <w:t xml:space="preserve"> </w:t>
      </w:r>
      <w:r>
        <w:rPr>
          <w:rFonts w:hint="eastAsia" w:ascii="仿宋" w:hAnsi="仿宋" w:eastAsia="仿宋" w:cs="仿宋"/>
          <w:color w:val="0D0D0D" w:themeColor="text1" w:themeTint="F2"/>
          <w:kern w:val="0"/>
          <w:sz w:val="24"/>
          <w:szCs w:val="24"/>
          <w:lang w:val="en-US" w:eastAsia="zh-CN"/>
          <w14:textFill>
            <w14:solidFill>
              <w14:schemeClr w14:val="tx1">
                <w14:lumMod w14:val="95000"/>
                <w14:lumOff w14:val="5000"/>
              </w14:schemeClr>
            </w14:solidFill>
          </w14:textFill>
        </w:rPr>
        <w:t xml:space="preserve">  </w:t>
      </w:r>
    </w:p>
    <w:sectPr>
      <w:headerReference r:id="rId3" w:type="default"/>
      <w:footerReference r:id="rId4" w:type="default"/>
      <w:pgSz w:w="11906" w:h="16838"/>
      <w:pgMar w:top="590" w:right="567" w:bottom="567" w:left="567" w:header="567" w:footer="595"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KSOF7FC4CF2A">
    <w:panose1 w:val="020B0604020202020204"/>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30880728">
        <w:pPr>
          <w:pStyle w:val="5"/>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15AF5C08">
        <w:pPr>
          <w:pStyle w:val="6"/>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4MWQxYzQ0YTA4YWM1ZmYzZjM5ZmQwMDI1MTRhYzc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D304B"/>
    <w:rsid w:val="00550E1B"/>
    <w:rsid w:val="00550F13"/>
    <w:rsid w:val="00577C37"/>
    <w:rsid w:val="00615C32"/>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4716A"/>
    <w:rsid w:val="00D868A0"/>
    <w:rsid w:val="00E322C6"/>
    <w:rsid w:val="00EA0C79"/>
    <w:rsid w:val="00EA5576"/>
    <w:rsid w:val="00EF3B91"/>
    <w:rsid w:val="00F609C4"/>
    <w:rsid w:val="00F7345D"/>
    <w:rsid w:val="00F740C8"/>
    <w:rsid w:val="00FA34BE"/>
    <w:rsid w:val="00FC5A80"/>
    <w:rsid w:val="012D0479"/>
    <w:rsid w:val="016C60A1"/>
    <w:rsid w:val="01D13D63"/>
    <w:rsid w:val="03C16BD6"/>
    <w:rsid w:val="043D0E85"/>
    <w:rsid w:val="04B26178"/>
    <w:rsid w:val="05410ECA"/>
    <w:rsid w:val="05DB04A3"/>
    <w:rsid w:val="06FC0635"/>
    <w:rsid w:val="07536A57"/>
    <w:rsid w:val="07C12EEC"/>
    <w:rsid w:val="07DC7C33"/>
    <w:rsid w:val="08832ECD"/>
    <w:rsid w:val="09347D7B"/>
    <w:rsid w:val="0B2C17A1"/>
    <w:rsid w:val="0B434DFB"/>
    <w:rsid w:val="0B4B7E79"/>
    <w:rsid w:val="0CFC249C"/>
    <w:rsid w:val="0CFF5346"/>
    <w:rsid w:val="0DE37470"/>
    <w:rsid w:val="0F166559"/>
    <w:rsid w:val="0FB805E7"/>
    <w:rsid w:val="10820ACE"/>
    <w:rsid w:val="115B4B8E"/>
    <w:rsid w:val="123D2CC6"/>
    <w:rsid w:val="12435D4E"/>
    <w:rsid w:val="12FC5EFD"/>
    <w:rsid w:val="14AF3E2F"/>
    <w:rsid w:val="155B614D"/>
    <w:rsid w:val="15666C0D"/>
    <w:rsid w:val="15E06639"/>
    <w:rsid w:val="16210EA7"/>
    <w:rsid w:val="17154306"/>
    <w:rsid w:val="176026E9"/>
    <w:rsid w:val="17966920"/>
    <w:rsid w:val="19D904F0"/>
    <w:rsid w:val="1A1B7BCA"/>
    <w:rsid w:val="1A2A15A2"/>
    <w:rsid w:val="1C512585"/>
    <w:rsid w:val="1CF047B3"/>
    <w:rsid w:val="1D35634E"/>
    <w:rsid w:val="1D736C4D"/>
    <w:rsid w:val="1D9C698A"/>
    <w:rsid w:val="1E1E4F79"/>
    <w:rsid w:val="1E243AF8"/>
    <w:rsid w:val="1F127F6C"/>
    <w:rsid w:val="1FAD2609"/>
    <w:rsid w:val="20E45861"/>
    <w:rsid w:val="214B2529"/>
    <w:rsid w:val="21CF4F08"/>
    <w:rsid w:val="21D53DB9"/>
    <w:rsid w:val="21FB703A"/>
    <w:rsid w:val="23782B51"/>
    <w:rsid w:val="242F7EE0"/>
    <w:rsid w:val="246E43EB"/>
    <w:rsid w:val="24A62F7F"/>
    <w:rsid w:val="24B403E6"/>
    <w:rsid w:val="25FC0FAE"/>
    <w:rsid w:val="27FD20A3"/>
    <w:rsid w:val="28A93F25"/>
    <w:rsid w:val="28FB65E3"/>
    <w:rsid w:val="29C8489D"/>
    <w:rsid w:val="2A867842"/>
    <w:rsid w:val="2C103359"/>
    <w:rsid w:val="2C3A3CC5"/>
    <w:rsid w:val="2C575420"/>
    <w:rsid w:val="2CF46797"/>
    <w:rsid w:val="2D626F10"/>
    <w:rsid w:val="2DA3549B"/>
    <w:rsid w:val="2DCF1E3F"/>
    <w:rsid w:val="2E2838A8"/>
    <w:rsid w:val="2E450134"/>
    <w:rsid w:val="2E55345E"/>
    <w:rsid w:val="2E6C1D31"/>
    <w:rsid w:val="2E947EA4"/>
    <w:rsid w:val="2EAB2859"/>
    <w:rsid w:val="320A41F6"/>
    <w:rsid w:val="327E09D6"/>
    <w:rsid w:val="3323292B"/>
    <w:rsid w:val="36BE7C9C"/>
    <w:rsid w:val="374A4EE7"/>
    <w:rsid w:val="37D72911"/>
    <w:rsid w:val="38653434"/>
    <w:rsid w:val="38DF0CF8"/>
    <w:rsid w:val="38FD1F03"/>
    <w:rsid w:val="394806F9"/>
    <w:rsid w:val="39BD1836"/>
    <w:rsid w:val="3A4A1178"/>
    <w:rsid w:val="3AA651BA"/>
    <w:rsid w:val="3AB56B53"/>
    <w:rsid w:val="3B007A89"/>
    <w:rsid w:val="3B4B668C"/>
    <w:rsid w:val="3B950B19"/>
    <w:rsid w:val="3C0B35D2"/>
    <w:rsid w:val="3C684D7B"/>
    <w:rsid w:val="3CC73AC6"/>
    <w:rsid w:val="3CD4741F"/>
    <w:rsid w:val="3D09213E"/>
    <w:rsid w:val="3D9D3CB5"/>
    <w:rsid w:val="3E686955"/>
    <w:rsid w:val="3EB04D2E"/>
    <w:rsid w:val="3F0F2990"/>
    <w:rsid w:val="3F127FA5"/>
    <w:rsid w:val="404A6C97"/>
    <w:rsid w:val="40941F46"/>
    <w:rsid w:val="41E878C8"/>
    <w:rsid w:val="42B45D29"/>
    <w:rsid w:val="42BC4BDD"/>
    <w:rsid w:val="4321091F"/>
    <w:rsid w:val="43370708"/>
    <w:rsid w:val="43F9281D"/>
    <w:rsid w:val="44017995"/>
    <w:rsid w:val="441F4203"/>
    <w:rsid w:val="447A7CAF"/>
    <w:rsid w:val="44BD4C3D"/>
    <w:rsid w:val="44DD7429"/>
    <w:rsid w:val="463B0CD6"/>
    <w:rsid w:val="46525967"/>
    <w:rsid w:val="4690053B"/>
    <w:rsid w:val="48167A6F"/>
    <w:rsid w:val="4A477482"/>
    <w:rsid w:val="4A656098"/>
    <w:rsid w:val="4AB14962"/>
    <w:rsid w:val="4B3B1C4E"/>
    <w:rsid w:val="4C0553CA"/>
    <w:rsid w:val="4C330661"/>
    <w:rsid w:val="4C9D15DC"/>
    <w:rsid w:val="4CA76328"/>
    <w:rsid w:val="4CAB5311"/>
    <w:rsid w:val="4D1243B1"/>
    <w:rsid w:val="4D3E5B6A"/>
    <w:rsid w:val="4D70341E"/>
    <w:rsid w:val="4E6941E2"/>
    <w:rsid w:val="4F495BF1"/>
    <w:rsid w:val="4F876295"/>
    <w:rsid w:val="50E52325"/>
    <w:rsid w:val="52F932E4"/>
    <w:rsid w:val="55204C6D"/>
    <w:rsid w:val="55FD1275"/>
    <w:rsid w:val="57F10A2D"/>
    <w:rsid w:val="585F22BD"/>
    <w:rsid w:val="58D647F4"/>
    <w:rsid w:val="598D401B"/>
    <w:rsid w:val="5C9242E7"/>
    <w:rsid w:val="5CB77DDB"/>
    <w:rsid w:val="5D7A3273"/>
    <w:rsid w:val="5E2F764F"/>
    <w:rsid w:val="5E8178D4"/>
    <w:rsid w:val="5F081D78"/>
    <w:rsid w:val="5F857756"/>
    <w:rsid w:val="5F8C4FB9"/>
    <w:rsid w:val="5FFD636B"/>
    <w:rsid w:val="6052093E"/>
    <w:rsid w:val="60A32AE1"/>
    <w:rsid w:val="62736998"/>
    <w:rsid w:val="63B95BF3"/>
    <w:rsid w:val="64274C27"/>
    <w:rsid w:val="64DC5168"/>
    <w:rsid w:val="6578453C"/>
    <w:rsid w:val="670247F8"/>
    <w:rsid w:val="67BB4A9E"/>
    <w:rsid w:val="685A03B0"/>
    <w:rsid w:val="687A05CB"/>
    <w:rsid w:val="696705A5"/>
    <w:rsid w:val="697A2F79"/>
    <w:rsid w:val="6C3C56BD"/>
    <w:rsid w:val="6C6D2DDD"/>
    <w:rsid w:val="6DD85347"/>
    <w:rsid w:val="6E254F3D"/>
    <w:rsid w:val="6F934C43"/>
    <w:rsid w:val="6FF75656"/>
    <w:rsid w:val="73562913"/>
    <w:rsid w:val="73863F64"/>
    <w:rsid w:val="738E2D01"/>
    <w:rsid w:val="73D47464"/>
    <w:rsid w:val="74BE4AF6"/>
    <w:rsid w:val="753F6E24"/>
    <w:rsid w:val="75A608B7"/>
    <w:rsid w:val="76007881"/>
    <w:rsid w:val="767501BA"/>
    <w:rsid w:val="768D208F"/>
    <w:rsid w:val="76AD58CB"/>
    <w:rsid w:val="76EC6D39"/>
    <w:rsid w:val="7755061C"/>
    <w:rsid w:val="775C4193"/>
    <w:rsid w:val="77661986"/>
    <w:rsid w:val="77A309EC"/>
    <w:rsid w:val="785F2D59"/>
    <w:rsid w:val="798527FB"/>
    <w:rsid w:val="799556E0"/>
    <w:rsid w:val="79FE469C"/>
    <w:rsid w:val="7BCF60AA"/>
    <w:rsid w:val="7C8021FC"/>
    <w:rsid w:val="7D8F2FBE"/>
    <w:rsid w:val="7DA118C5"/>
    <w:rsid w:val="7F054C3B"/>
    <w:rsid w:val="7F1B5E9C"/>
    <w:rsid w:val="7F567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autoRedefine/>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customStyle="1" w:styleId="2">
    <w:name w:val="Header1"/>
    <w:basedOn w:val="1"/>
    <w:autoRedefine/>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paragraph" w:styleId="4">
    <w:name w:val="Balloon Text"/>
    <w:basedOn w:val="1"/>
    <w:link w:val="12"/>
    <w:autoRedefine/>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Hyperlink"/>
    <w:basedOn w:val="10"/>
    <w:autoRedefine/>
    <w:qFormat/>
    <w:uiPriority w:val="0"/>
    <w:rPr>
      <w:color w:val="0563C1" w:themeColor="hyperlink"/>
      <w:u w:val="single"/>
      <w14:textFill>
        <w14:solidFill>
          <w14:schemeClr w14:val="hlink"/>
        </w14:solidFill>
      </w14:textFill>
    </w:rPr>
  </w:style>
  <w:style w:type="character" w:customStyle="1" w:styleId="12">
    <w:name w:val="批注框文本 字符"/>
    <w:basedOn w:val="10"/>
    <w:link w:val="4"/>
    <w:autoRedefine/>
    <w:qFormat/>
    <w:uiPriority w:val="0"/>
    <w:rPr>
      <w:kern w:val="2"/>
      <w:sz w:val="18"/>
      <w:szCs w:val="18"/>
    </w:rPr>
  </w:style>
  <w:style w:type="character" w:customStyle="1" w:styleId="13">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4">
    <w:name w:val="页脚1"/>
    <w:basedOn w:val="1"/>
    <w:autoRedefine/>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1113</Words>
  <Characters>1124</Characters>
  <Lines>29</Lines>
  <Paragraphs>8</Paragraphs>
  <TotalTime>34</TotalTime>
  <ScaleCrop>false</ScaleCrop>
  <LinksUpToDate>false</LinksUpToDate>
  <CharactersWithSpaces>1161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WPS_1474252202</cp:lastModifiedBy>
  <cp:lastPrinted>2026-01-06T03:05:00Z</cp:lastPrinted>
  <dcterms:modified xsi:type="dcterms:W3CDTF">2026-09-15T07:40:20Z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252E6E5226DF4A33B2262455C76AEB62_13</vt:lpwstr>
  </property>
  <property fmtid="{D5CDD505-2E9C-101B-9397-08002B2CF9AE}" pid="4" name="KSOTemplateDocerSaveRecord">
    <vt:lpwstr>eyJoZGlkIjoiYjY4MWQxYzQ0YTA4YWM1ZmYzZjM5ZmQwMDI1MTRhYzciLCJ1c2VySWQiOiIyNDA5NjcyNjkifQ==</vt:lpwstr>
  </property>
</Properties>
</file>